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312" w:beforeLines="100" w:after="312" w:afterLines="100"/>
        <w:jc w:val="center"/>
        <w:outlineLvl w:val="0"/>
        <w:rPr>
          <w:rFonts w:ascii="Calibri" w:hAnsi="Calibri" w:eastAsia="宋体" w:cs="Times New Roman"/>
          <w:b/>
          <w:bCs/>
          <w:kern w:val="44"/>
          <w:sz w:val="44"/>
          <w:szCs w:val="44"/>
        </w:rPr>
      </w:pPr>
      <w:bookmarkStart w:id="0" w:name="_Toc2503"/>
      <w:bookmarkEnd w:id="0"/>
      <w:bookmarkStart w:id="1" w:name="_Toc500946507"/>
      <w:bookmarkEnd w:id="1"/>
      <w:bookmarkStart w:id="2" w:name="_Toc15942"/>
      <w:bookmarkEnd w:id="2"/>
      <w:bookmarkStart w:id="3" w:name="_Toc56692311"/>
      <w:bookmarkEnd w:id="3"/>
      <w:bookmarkStart w:id="4" w:name="_Toc383080318"/>
      <w:bookmarkEnd w:id="4"/>
      <w:bookmarkStart w:id="5" w:name="_Toc2655"/>
      <w:bookmarkEnd w:id="5"/>
      <w:bookmarkStart w:id="6" w:name="_Toc56692003"/>
      <w:r>
        <w:rPr>
          <w:rFonts w:hint="eastAsia" w:ascii="宋体" w:hAnsi="宋体" w:eastAsia="宋体" w:cs="Times New Roman"/>
          <w:b/>
          <w:bCs/>
          <w:kern w:val="44"/>
          <w:sz w:val="44"/>
          <w:szCs w:val="44"/>
          <w:u w:val="single"/>
        </w:rPr>
        <w:t>（</w:t>
      </w:r>
      <w:r>
        <w:rPr>
          <w:rFonts w:hint="eastAsia" w:ascii="Calibri" w:hAnsi="Calibri" w:eastAsia="宋体" w:cs="Times New Roman"/>
          <w:b/>
          <w:bCs/>
          <w:kern w:val="44"/>
          <w:sz w:val="44"/>
          <w:szCs w:val="44"/>
          <w:u w:val="single"/>
        </w:rPr>
        <w:t>××单位）</w:t>
      </w:r>
      <w:bookmarkEnd w:id="6"/>
      <w:r>
        <w:rPr>
          <w:rFonts w:hint="eastAsia" w:ascii="宋体" w:hAnsi="宋体" w:eastAsia="宋体" w:cs="Times New Roman"/>
          <w:b/>
          <w:bCs/>
          <w:kern w:val="44"/>
          <w:sz w:val="44"/>
          <w:szCs w:val="44"/>
        </w:rPr>
        <w:t>企业年金方案（实施细则）</w:t>
      </w:r>
    </w:p>
    <w:p>
      <w:pPr>
        <w:ind w:left="640"/>
        <w:jc w:val="center"/>
        <w:rPr>
          <w:rFonts w:ascii="楷体_GB2312" w:hAnsi="楷体_GB2312" w:eastAsia="宋体" w:cs="Times New Roman"/>
          <w:b/>
          <w:bCs/>
          <w:sz w:val="32"/>
          <w:szCs w:val="32"/>
        </w:rPr>
      </w:pPr>
      <w:r>
        <w:rPr>
          <w:rFonts w:ascii="楷体_GB2312" w:hAnsi="楷体_GB2312" w:eastAsia="宋体" w:cs="Times New Roman"/>
          <w:b/>
          <w:bCs/>
          <w:sz w:val="32"/>
          <w:szCs w:val="32"/>
        </w:rPr>
        <w:t>（2021年版范本）</w:t>
      </w:r>
    </w:p>
    <w:p>
      <w:pPr>
        <w:ind w:left="640"/>
        <w:rPr>
          <w:rFonts w:ascii="Calibri" w:hAnsi="Calibri" w:eastAsia="宋体" w:cs="Times New Roman"/>
          <w:szCs w:val="21"/>
        </w:rPr>
      </w:pPr>
      <w:r>
        <w:rPr>
          <w:rFonts w:ascii="Calibri" w:hAnsi="Calibri" w:eastAsia="宋体" w:cs="Times New Roman"/>
          <w:szCs w:val="21"/>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jc w:val="center"/>
        <w:rPr>
          <w:rFonts w:ascii="仿宋_GB2312" w:hAnsi="仿宋_GB2312" w:eastAsia="宋体" w:cs="Times New Roman"/>
          <w:sz w:val="32"/>
          <w:szCs w:val="32"/>
          <w:u w:val="single"/>
        </w:rPr>
      </w:pPr>
      <w:r>
        <w:rPr>
          <w:rFonts w:ascii="仿宋_GB2312" w:hAnsi="仿宋_GB2312" w:eastAsia="宋体" w:cs="Times New Roman"/>
          <w:sz w:val="32"/>
          <w:szCs w:val="32"/>
          <w:u w:val="single"/>
        </w:rPr>
        <w:t xml:space="preserve"> </w:t>
      </w:r>
    </w:p>
    <w:p>
      <w:pPr>
        <w:jc w:val="center"/>
        <w:rPr>
          <w:rFonts w:ascii="仿宋_GB2312" w:hAnsi="仿宋_GB2312" w:eastAsia="宋体" w:cs="Times New Roman"/>
          <w:sz w:val="32"/>
          <w:szCs w:val="32"/>
          <w:u w:val="single"/>
        </w:rPr>
      </w:pPr>
      <w:r>
        <w:rPr>
          <w:rFonts w:ascii="仿宋_GB2312" w:hAnsi="仿宋_GB2312" w:eastAsia="宋体" w:cs="Times New Roman"/>
          <w:sz w:val="32"/>
          <w:szCs w:val="32"/>
          <w:u w:val="single"/>
        </w:rPr>
        <w:t>（××单位并盖章）</w:t>
      </w:r>
    </w:p>
    <w:p>
      <w:pPr>
        <w:jc w:val="center"/>
        <w:rPr>
          <w:rFonts w:ascii="仿宋_GB2312" w:hAnsi="仿宋_GB2312" w:eastAsia="宋体" w:cs="Times New Roman"/>
          <w:sz w:val="32"/>
          <w:szCs w:val="32"/>
          <w:u w:val="single"/>
        </w:rPr>
      </w:pPr>
      <w:r>
        <w:rPr>
          <w:rFonts w:ascii="仿宋_GB2312" w:hAnsi="仿宋_GB2312" w:eastAsia="宋体" w:cs="Times New Roman"/>
          <w:sz w:val="32"/>
          <w:szCs w:val="32"/>
          <w:u w:val="single"/>
        </w:rPr>
        <w:t xml:space="preserve"> </w:t>
      </w:r>
    </w:p>
    <w:p>
      <w:pPr>
        <w:jc w:val="center"/>
        <w:rPr>
          <w:rFonts w:ascii="仿宋_GB2312" w:hAnsi="仿宋_GB2312" w:eastAsia="宋体" w:cs="Times New Roman"/>
          <w:sz w:val="32"/>
          <w:szCs w:val="32"/>
          <w:u w:val="single"/>
        </w:rPr>
      </w:pPr>
      <w:r>
        <w:rPr>
          <w:rFonts w:ascii="仿宋_GB2312" w:hAnsi="仿宋_GB2312" w:eastAsia="宋体" w:cs="Times New Roman"/>
          <w:sz w:val="32"/>
          <w:szCs w:val="32"/>
          <w:u w:val="single"/>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ind w:left="640"/>
        <w:rPr>
          <w:rFonts w:ascii="仿宋_GB2312" w:hAnsi="仿宋_GB2312" w:eastAsia="宋体" w:cs="Times New Roman"/>
          <w:sz w:val="32"/>
          <w:szCs w:val="32"/>
        </w:rPr>
      </w:pPr>
      <w:r>
        <w:rPr>
          <w:rFonts w:ascii="仿宋_GB2312" w:hAnsi="仿宋_GB2312" w:eastAsia="宋体" w:cs="Times New Roman"/>
          <w:sz w:val="32"/>
          <w:szCs w:val="32"/>
        </w:rPr>
        <w:t>企业首席代表                  职工首席代表</w:t>
      </w:r>
    </w:p>
    <w:p>
      <w:pPr>
        <w:ind w:left="640"/>
        <w:rPr>
          <w:rFonts w:ascii="仿宋_GB2312" w:hAnsi="仿宋_GB2312" w:eastAsia="宋体" w:cs="Times New Roman"/>
          <w:sz w:val="32"/>
          <w:szCs w:val="32"/>
        </w:rPr>
      </w:pPr>
      <w:r>
        <w:rPr>
          <w:rFonts w:ascii="仿宋_GB2312" w:hAnsi="仿宋_GB2312" w:eastAsia="宋体" w:cs="Times New Roman"/>
          <w:sz w:val="32"/>
          <w:szCs w:val="32"/>
        </w:rPr>
        <w:t>签章：                        签章：</w:t>
      </w:r>
    </w:p>
    <w:p>
      <w:pPr>
        <w:ind w:left="640"/>
        <w:rPr>
          <w:rFonts w:ascii="仿宋_GB2312" w:hAnsi="仿宋_GB2312" w:eastAsia="宋体" w:cs="Times New Roman"/>
          <w:sz w:val="32"/>
          <w:szCs w:val="32"/>
        </w:rPr>
      </w:pPr>
      <w:r>
        <w:rPr>
          <w:rFonts w:ascii="仿宋_GB2312" w:hAnsi="仿宋_GB2312" w:eastAsia="宋体" w:cs="Times New Roman"/>
          <w:sz w:val="32"/>
          <w:szCs w:val="32"/>
        </w:rPr>
        <w:t>日期：                        日期：</w:t>
      </w:r>
      <w:bookmarkStart w:id="7" w:name="_Toc243825262"/>
      <w:bookmarkEnd w:id="7"/>
      <w:bookmarkStart w:id="8" w:name="_Toc318811829"/>
      <w:bookmarkEnd w:id="8"/>
      <w:bookmarkStart w:id="9" w:name="_Toc238376844"/>
      <w:bookmarkEnd w:id="9"/>
    </w:p>
    <w:p>
      <w:pPr>
        <w:widowControl/>
        <w:jc w:val="left"/>
        <w:rPr>
          <w:rFonts w:ascii="仿宋_GB2312" w:hAnsi="仿宋_GB2312" w:eastAsia="宋体" w:cs="Times New Roman"/>
          <w:sz w:val="32"/>
          <w:szCs w:val="32"/>
        </w:rPr>
      </w:pPr>
      <w:bookmarkStart w:id="10" w:name="_Toc318811830"/>
      <w:bookmarkEnd w:id="10"/>
      <w:bookmarkStart w:id="11" w:name="_Toc23114"/>
      <w:r>
        <w:rPr>
          <w:rFonts w:ascii="仿宋_GB2312" w:hAnsi="仿宋_GB2312" w:eastAsia="宋体" w:cs="Times New Roman"/>
          <w:sz w:val="32"/>
          <w:szCs w:val="32"/>
        </w:rPr>
        <w:t xml:space="preserve"> </w:t>
      </w:r>
      <w:bookmarkEnd w:id="11"/>
    </w:p>
    <w:p>
      <w:pPr>
        <w:spacing w:before="100" w:beforeAutospacing="1" w:after="100" w:afterAutospacing="1"/>
        <w:ind w:left="420" w:leftChars="20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widowControl/>
        <w:jc w:val="left"/>
        <w:rPr>
          <w:rFonts w:ascii="仿宋_GB2312" w:hAnsi="仿宋_GB2312" w:eastAsia="宋体" w:cs="Times New Roman"/>
          <w:sz w:val="32"/>
          <w:szCs w:val="32"/>
        </w:rPr>
      </w:pPr>
      <w:r>
        <w:rPr>
          <w:rFonts w:ascii="Calibri" w:hAnsi="Calibri" w:eastAsia="宋体" w:cs="Times New Roman"/>
          <w:szCs w:val="21"/>
        </w:rPr>
        <w:br w:type="page"/>
      </w:r>
    </w:p>
    <w:p>
      <w:pPr>
        <w:ind w:left="640"/>
        <w:rPr>
          <w:rFonts w:ascii="仿宋_GB2312" w:hAnsi="仿宋_GB2312" w:eastAsia="宋体" w:cs="Times New Roman"/>
          <w:sz w:val="32"/>
          <w:szCs w:val="32"/>
        </w:rPr>
      </w:pPr>
      <w:r>
        <w:rPr>
          <w:rFonts w:ascii="仿宋_GB2312" w:hAnsi="仿宋_GB2312" w:eastAsia="宋体" w:cs="Times New Roman"/>
          <w:sz w:val="32"/>
          <w:szCs w:val="32"/>
        </w:rPr>
        <w:t xml:space="preserve"> </w:t>
      </w:r>
    </w:p>
    <w:p>
      <w:pPr>
        <w:jc w:val="center"/>
        <w:rPr>
          <w:rFonts w:ascii="Calibri" w:hAnsi="Calibri" w:eastAsia="宋体" w:cs="Times New Roman"/>
          <w:b/>
          <w:bCs/>
          <w:kern w:val="44"/>
          <w:sz w:val="44"/>
          <w:szCs w:val="44"/>
        </w:rPr>
      </w:pPr>
      <w:r>
        <w:rPr>
          <w:rFonts w:hint="eastAsia" w:ascii="宋体" w:hAnsi="宋体" w:eastAsia="宋体" w:cs="Times New Roman"/>
          <w:b/>
          <w:bCs/>
          <w:kern w:val="44"/>
          <w:sz w:val="44"/>
          <w:szCs w:val="44"/>
        </w:rPr>
        <w:t>目</w:t>
      </w:r>
      <w:r>
        <w:rPr>
          <w:rFonts w:ascii="Calibri" w:hAnsi="Calibri" w:eastAsia="宋体" w:cs="Times New Roman"/>
          <w:b/>
          <w:bCs/>
          <w:kern w:val="44"/>
          <w:sz w:val="44"/>
          <w:szCs w:val="44"/>
        </w:rPr>
        <w:t xml:space="preserve">  </w:t>
      </w:r>
      <w:r>
        <w:rPr>
          <w:rFonts w:hint="eastAsia" w:ascii="宋体" w:hAnsi="宋体" w:eastAsia="宋体" w:cs="Times New Roman"/>
          <w:b/>
          <w:bCs/>
          <w:kern w:val="44"/>
          <w:sz w:val="44"/>
          <w:szCs w:val="44"/>
        </w:rPr>
        <w:t>录</w:t>
      </w:r>
    </w:p>
    <w:p>
      <w:pPr>
        <w:rPr>
          <w:rFonts w:ascii="Calibri" w:hAnsi="Calibri" w:eastAsia="宋体" w:cs="Times New Roman"/>
          <w:szCs w:val="21"/>
        </w:rPr>
      </w:pPr>
      <w:r>
        <w:rPr>
          <w:rFonts w:ascii="Calibri" w:hAnsi="Calibri" w:eastAsia="宋体" w:cs="Times New Roman"/>
          <w:szCs w:val="21"/>
        </w:rPr>
        <w:t xml:space="preserve"> </w:t>
      </w:r>
    </w:p>
    <w:p>
      <w:pPr>
        <w:widowControl/>
        <w:jc w:val="left"/>
        <w:rPr>
          <w:rFonts w:ascii="Calibri" w:hAnsi="Calibri" w:eastAsia="宋体" w:cs="Times New Roman"/>
          <w:szCs w:val="21"/>
        </w:rPr>
      </w:pPr>
      <w:r>
        <w:rPr>
          <w:rFonts w:hint="eastAsia" w:ascii="Calibri" w:hAnsi="Calibri" w:eastAsia="宋体" w:cs="Times New Roman"/>
          <w:szCs w:val="21"/>
        </w:rPr>
        <w:t xml:space="preserve">   </w:t>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"_Toc56692312" </w:instrText>
      </w:r>
      <w:r>
        <w:fldChar w:fldCharType="separate"/>
      </w:r>
      <w:r>
        <w:rPr>
          <w:rFonts w:ascii="仿宋_GB2312" w:hAnsi="仿宋_GB2312" w:eastAsia="宋体" w:cs="Times New Roman"/>
          <w:color w:val="0000FF"/>
          <w:sz w:val="32"/>
          <w:szCs w:val="32"/>
          <w:u w:val="single"/>
        </w:rPr>
        <w:t>第一章  总则</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4</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"_Toc56692313" </w:instrText>
      </w:r>
      <w:r>
        <w:fldChar w:fldCharType="separate"/>
      </w:r>
      <w:r>
        <w:rPr>
          <w:rFonts w:ascii="仿宋_GB2312" w:hAnsi="仿宋_GB2312" w:eastAsia="宋体" w:cs="Times New Roman"/>
          <w:color w:val="0000FF"/>
          <w:sz w:val="32"/>
          <w:szCs w:val="32"/>
          <w:u w:val="single"/>
        </w:rPr>
        <w:t>第二章  参加人员</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5</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"_Toc56692314" </w:instrText>
      </w:r>
      <w:r>
        <w:fldChar w:fldCharType="separate"/>
      </w:r>
      <w:r>
        <w:rPr>
          <w:rFonts w:ascii="仿宋_GB2312" w:hAnsi="仿宋_GB2312" w:eastAsia="宋体" w:cs="Times New Roman"/>
          <w:color w:val="0000FF"/>
          <w:sz w:val="32"/>
          <w:szCs w:val="32"/>
          <w:u w:val="single"/>
        </w:rPr>
        <w:t>第三章  资金筹集与分配</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7</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"_Toc56692315" </w:instrText>
      </w:r>
      <w:r>
        <w:fldChar w:fldCharType="separate"/>
      </w:r>
      <w:r>
        <w:rPr>
          <w:rFonts w:ascii="仿宋_GB2312" w:hAnsi="仿宋_GB2312" w:eastAsia="宋体" w:cs="Times New Roman"/>
          <w:color w:val="0000FF"/>
          <w:sz w:val="32"/>
          <w:szCs w:val="32"/>
          <w:u w:val="single"/>
        </w:rPr>
        <w:t>第四章  账户管理</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10</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"_Toc56692316" </w:instrText>
      </w:r>
      <w:r>
        <w:fldChar w:fldCharType="separate"/>
      </w:r>
      <w:r>
        <w:rPr>
          <w:rFonts w:ascii="仿宋_GB2312" w:hAnsi="仿宋_GB2312" w:eastAsia="宋体" w:cs="Times New Roman"/>
          <w:color w:val="0000FF"/>
          <w:sz w:val="32"/>
          <w:szCs w:val="32"/>
          <w:u w:val="single"/>
        </w:rPr>
        <w:t>第五章  权益归属</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12</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"_Toc56692317" </w:instrText>
      </w:r>
      <w:r>
        <w:fldChar w:fldCharType="separate"/>
      </w:r>
      <w:r>
        <w:rPr>
          <w:rFonts w:ascii="仿宋_GB2312" w:hAnsi="仿宋_GB2312" w:eastAsia="宋体" w:cs="Times New Roman"/>
          <w:color w:val="0000FF"/>
          <w:sz w:val="32"/>
          <w:szCs w:val="32"/>
          <w:u w:val="single"/>
        </w:rPr>
        <w:t>第六章  基金管理</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13</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"_Toc56692318" </w:instrText>
      </w:r>
      <w:r>
        <w:fldChar w:fldCharType="separate"/>
      </w:r>
      <w:r>
        <w:rPr>
          <w:rFonts w:ascii="仿宋_GB2312" w:hAnsi="仿宋_GB2312" w:eastAsia="宋体" w:cs="Times New Roman"/>
          <w:color w:val="0000FF"/>
          <w:sz w:val="32"/>
          <w:szCs w:val="32"/>
          <w:u w:val="single"/>
        </w:rPr>
        <w:t>第七章  待遇计发和支付方式</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14</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"_Toc56692319" </w:instrText>
      </w:r>
      <w:r>
        <w:fldChar w:fldCharType="separate"/>
      </w:r>
      <w:r>
        <w:rPr>
          <w:rFonts w:ascii="仿宋_GB2312" w:hAnsi="仿宋_GB2312" w:eastAsia="宋体" w:cs="Times New Roman"/>
          <w:color w:val="0000FF"/>
          <w:sz w:val="32"/>
          <w:szCs w:val="32"/>
          <w:u w:val="single"/>
        </w:rPr>
        <w:t>第八章  方案的变更和终止</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14</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"_Toc56692320" </w:instrText>
      </w:r>
      <w:r>
        <w:fldChar w:fldCharType="separate"/>
      </w:r>
      <w:r>
        <w:rPr>
          <w:rFonts w:ascii="仿宋_GB2312" w:hAnsi="仿宋_GB2312" w:eastAsia="宋体" w:cs="Times New Roman"/>
          <w:color w:val="0000FF"/>
          <w:sz w:val="32"/>
          <w:szCs w:val="32"/>
          <w:u w:val="single"/>
        </w:rPr>
        <w:t>第九章  组织管理和监督</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16</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fldChar w:fldCharType="begin"/>
      </w:r>
      <w:r>
        <w:instrText xml:space="preserve"> HYPERLINK \l "_Toc56692321" </w:instrText>
      </w:r>
      <w:r>
        <w:fldChar w:fldCharType="separate"/>
      </w:r>
      <w:r>
        <w:rPr>
          <w:rFonts w:ascii="仿宋_GB2312" w:hAnsi="仿宋_GB2312" w:eastAsia="宋体" w:cs="Times New Roman"/>
          <w:color w:val="0000FF"/>
          <w:sz w:val="32"/>
          <w:szCs w:val="32"/>
          <w:u w:val="single"/>
        </w:rPr>
        <w:t>第十章  附则</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16</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rPr>
          <w:rFonts w:ascii="仿宋_GB2312" w:hAnsi="仿宋_GB2312" w:eastAsia="宋体" w:cs="Times New Roman"/>
          <w:sz w:val="32"/>
          <w:szCs w:val="32"/>
        </w:rPr>
        <w:t>附件</w:t>
      </w:r>
      <w:r>
        <w:rPr>
          <w:rFonts w:hint="eastAsia" w:ascii="宋体" w:hAnsi="宋体" w:eastAsia="宋体" w:cs="宋体"/>
          <w:sz w:val="32"/>
          <w:szCs w:val="32"/>
        </w:rPr>
        <w:t>①</w:t>
      </w:r>
      <w:r>
        <w:rPr>
          <w:rFonts w:ascii="仿宋_GB2312" w:hAnsi="仿宋_GB2312" w:eastAsia="宋体" w:cs="Times New Roman"/>
          <w:sz w:val="32"/>
          <w:szCs w:val="32"/>
        </w:rPr>
        <w:t>：</w:t>
      </w:r>
      <w:r>
        <w:fldChar w:fldCharType="begin"/>
      </w:r>
      <w:r>
        <w:instrText xml:space="preserve"> HYPERLINK \l "_Toc56692322" </w:instrText>
      </w:r>
      <w:r>
        <w:fldChar w:fldCharType="separate"/>
      </w:r>
      <w:r>
        <w:rPr>
          <w:rFonts w:ascii="仿宋_GB2312" w:hAnsi="仿宋_GB2312" w:eastAsia="宋体" w:cs="Times New Roman"/>
          <w:color w:val="0000FF"/>
          <w:sz w:val="32"/>
          <w:szCs w:val="32"/>
          <w:u w:val="single"/>
        </w:rPr>
        <w:t>职工放弃（参加）企业年金计划申请表</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17</w:t>
      </w:r>
      <w:r>
        <w:rPr>
          <w:rFonts w:ascii="仿宋_GB2312" w:hAnsi="仿宋_GB2312" w:eastAsia="宋体" w:cs="Times New Roman"/>
          <w:color w:val="0000FF"/>
          <w:sz w:val="32"/>
          <w:szCs w:val="32"/>
          <w:u w:val="single"/>
        </w:rPr>
        <w:fldChar w:fldCharType="end"/>
      </w:r>
    </w:p>
    <w:p>
      <w:pPr>
        <w:spacing w:before="100" w:beforeAutospacing="1" w:after="100" w:afterAutospacing="1"/>
        <w:ind w:left="420" w:leftChars="200"/>
        <w:rPr>
          <w:rFonts w:ascii="仿宋_GB2312" w:hAnsi="仿宋_GB2312" w:eastAsia="宋体" w:cs="Times New Roman"/>
          <w:sz w:val="32"/>
          <w:szCs w:val="32"/>
        </w:rPr>
      </w:pPr>
      <w:r>
        <w:rPr>
          <w:rFonts w:ascii="仿宋_GB2312" w:hAnsi="仿宋_GB2312" w:eastAsia="宋体" w:cs="Times New Roman"/>
          <w:sz w:val="32"/>
          <w:szCs w:val="32"/>
        </w:rPr>
        <w:t>附件</w:t>
      </w:r>
      <w:r>
        <w:rPr>
          <w:rFonts w:hint="eastAsia" w:ascii="宋体" w:hAnsi="宋体" w:eastAsia="宋体" w:cs="宋体"/>
          <w:sz w:val="32"/>
          <w:szCs w:val="32"/>
        </w:rPr>
        <w:t>②</w:t>
      </w:r>
      <w:r>
        <w:rPr>
          <w:rFonts w:ascii="仿宋_GB2312" w:hAnsi="仿宋_GB2312" w:eastAsia="宋体" w:cs="Times New Roman"/>
          <w:sz w:val="32"/>
          <w:szCs w:val="32"/>
        </w:rPr>
        <w:t>：</w:t>
      </w:r>
      <w:r>
        <w:fldChar w:fldCharType="begin"/>
      </w:r>
      <w:r>
        <w:instrText xml:space="preserve"> HYPERLINK \l "_Toc56692323" </w:instrText>
      </w:r>
      <w:r>
        <w:fldChar w:fldCharType="separate"/>
      </w:r>
      <w:r>
        <w:rPr>
          <w:rFonts w:ascii="仿宋_GB2312" w:hAnsi="仿宋_GB2312" w:eastAsia="宋体" w:cs="Times New Roman"/>
          <w:color w:val="0000FF"/>
          <w:sz w:val="32"/>
          <w:szCs w:val="32"/>
          <w:u w:val="single"/>
        </w:rPr>
        <w:t>职工中止（恢复）企业年金缴费申请表</w:t>
      </w:r>
      <w:r>
        <w:rPr>
          <w:rFonts w:ascii="仿宋_GB2312" w:hAnsi="仿宋_GB2312" w:eastAsia="宋体" w:cs="Times New Roman"/>
          <w:color w:val="0000FF"/>
          <w:sz w:val="32"/>
          <w:szCs w:val="32"/>
          <w:u w:val="single"/>
        </w:rPr>
        <w:tab/>
      </w:r>
      <w:r>
        <w:rPr>
          <w:rFonts w:ascii="仿宋_GB2312" w:hAnsi="仿宋_GB2312" w:eastAsia="宋体" w:cs="Times New Roman"/>
          <w:color w:val="0000FF"/>
          <w:sz w:val="32"/>
          <w:szCs w:val="32"/>
          <w:u w:val="single"/>
        </w:rPr>
        <w:t>18</w:t>
      </w:r>
      <w:r>
        <w:rPr>
          <w:rFonts w:ascii="仿宋_GB2312" w:hAnsi="仿宋_GB2312" w:eastAsia="宋体" w:cs="Times New Roman"/>
          <w:color w:val="0000FF"/>
          <w:sz w:val="32"/>
          <w:szCs w:val="32"/>
          <w:u w:val="single"/>
        </w:rPr>
        <w:fldChar w:fldCharType="end"/>
      </w:r>
    </w:p>
    <w:p>
      <w:pPr>
        <w:rPr>
          <w:rFonts w:ascii="Calibri" w:hAnsi="Calibri" w:eastAsia="宋体" w:cs="Times New Roman"/>
          <w:szCs w:val="21"/>
        </w:rPr>
      </w:pPr>
      <w:r>
        <w:rPr>
          <w:rFonts w:ascii="Calibri" w:hAnsi="Calibri" w:eastAsia="宋体" w:cs="Times New Roman"/>
          <w:szCs w:val="21"/>
        </w:rPr>
        <w:t xml:space="preserve"> </w:t>
      </w:r>
    </w:p>
    <w:p>
      <w:pPr>
        <w:spacing w:before="100" w:beforeAutospacing="1" w:after="100" w:afterAutospacing="1"/>
        <w:ind w:left="420" w:leftChars="200"/>
        <w:rPr>
          <w:rFonts w:ascii="黑体" w:hAnsi="黑体" w:eastAsia="黑体" w:cs="Times New Roman"/>
          <w:b/>
          <w:bCs/>
          <w:sz w:val="32"/>
          <w:szCs w:val="32"/>
        </w:rPr>
      </w:pPr>
      <w:r>
        <w:rPr>
          <w:rFonts w:ascii="仿宋_GB2312" w:hAnsi="仿宋_GB2312" w:eastAsia="宋体" w:cs="Times New Roman"/>
          <w:sz w:val="32"/>
          <w:szCs w:val="32"/>
        </w:rPr>
        <w:t xml:space="preserve"> </w:t>
      </w:r>
      <w:r>
        <w:rPr>
          <w:rFonts w:hint="eastAsia" w:ascii="仿宋_GB2312" w:hAnsi="仿宋_GB2312" w:eastAsia="宋体" w:cs="Times New Roman"/>
          <w:sz w:val="32"/>
          <w:szCs w:val="32"/>
          <w:lang w:val="en-US" w:eastAsia="zh-CN"/>
        </w:rPr>
        <w:t xml:space="preserve">                   </w:t>
      </w:r>
      <w:r>
        <w:rPr>
          <w:rFonts w:hint="eastAsia" w:ascii="黑体" w:hAnsi="黑体" w:eastAsia="黑体" w:cs="Times New Roman"/>
          <w:b/>
          <w:bCs/>
          <w:sz w:val="32"/>
          <w:szCs w:val="32"/>
        </w:rPr>
        <w:t>释  义</w:t>
      </w:r>
    </w:p>
    <w:p>
      <w:pPr>
        <w:adjustRightInd w:val="0"/>
        <w:snapToGrid w:val="0"/>
        <w:spacing w:line="600" w:lineRule="exact"/>
        <w:ind w:firstLine="641"/>
        <w:rPr>
          <w:rFonts w:hint="eastAsia" w:ascii="仿宋_GB2312" w:hAnsi="仿宋_GB2312" w:eastAsia="宋体" w:cs="Times New Roman"/>
          <w:sz w:val="32"/>
          <w:szCs w:val="32"/>
        </w:rPr>
      </w:pPr>
      <w:r>
        <w:rPr>
          <w:rFonts w:ascii="仿宋_GB2312" w:hAnsi="仿宋_GB2312" w:eastAsia="宋体" w:cs="Times New Roman"/>
          <w:sz w:val="32"/>
          <w:szCs w:val="32"/>
        </w:rPr>
        <w:t>企业年金：指企业（包括其他已经参加企业职工基本养老保险的用人单位）及其职工在依法参加基本养老保险的基础上，自主建立的补充养老保险制度。</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委托人：指建立企业年金计划的用人单位及其职工。</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受益人：参加企业年金计划的职工及其他享有企业年金计划受益权的自然人。</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受托人：指受托管理本单位企业年金基金的符合国家规定的法人受托机构或者企业年金理事会。</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账户管理人：指接受受托人委托管理企业年金基金账户的专业机构。</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托管人：指接受受托人委托保管企业年金基金财产的商业银行。</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投资管理人：指接受受托人委托投资管理企业年金基金财产的专业机构。</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个人账户：指以职工个人名义开立的账户，用于记录分配给职工个人的单位缴费及其投资收益，以及本人缴费及其投资收益。</w:t>
      </w:r>
    </w:p>
    <w:p>
      <w:pPr>
        <w:adjustRightInd w:val="0"/>
        <w:snapToGrid w:val="0"/>
        <w:spacing w:line="600" w:lineRule="exact"/>
        <w:ind w:firstLine="641"/>
        <w:rPr>
          <w:rFonts w:ascii="仿宋_GB2312" w:hAnsi="仿宋_GB2312" w:eastAsia="宋体" w:cs="Times New Roman"/>
          <w:sz w:val="32"/>
          <w:szCs w:val="32"/>
        </w:rPr>
      </w:pPr>
      <w:r>
        <w:rPr>
          <w:rFonts w:ascii="仿宋_GB2312" w:hAnsi="仿宋_GB2312" w:eastAsia="宋体" w:cs="Times New Roman"/>
          <w:sz w:val="32"/>
          <w:szCs w:val="32"/>
        </w:rPr>
        <w:t>企业账户：指在企业年金基金中，以单位名义开立的账户，用于记录暂时未分配至职工个人账户的单位缴费及其投资收益。</w:t>
      </w:r>
    </w:p>
    <w:p>
      <w:pPr>
        <w:keepNext/>
        <w:keepLines/>
        <w:spacing w:before="180" w:after="180" w:line="360" w:lineRule="auto"/>
        <w:jc w:val="center"/>
        <w:outlineLvl w:val="1"/>
        <w:rPr>
          <w:rFonts w:ascii="Arial" w:hAnsi="Arial" w:eastAsia="黑体" w:cs="Times New Roman"/>
          <w:sz w:val="32"/>
          <w:szCs w:val="32"/>
        </w:rPr>
      </w:pPr>
      <w:bookmarkStart w:id="12" w:name="_Toc500946508"/>
      <w:bookmarkEnd w:id="12"/>
      <w:bookmarkStart w:id="13" w:name="_Toc29903"/>
      <w:bookmarkEnd w:id="13"/>
      <w:bookmarkStart w:id="14" w:name="_Toc318811831"/>
      <w:r>
        <w:rPr>
          <w:rFonts w:ascii="Arial" w:hAnsi="Arial" w:eastAsia="黑体" w:cs="Times New Roman"/>
          <w:b/>
          <w:bCs/>
          <w:sz w:val="32"/>
          <w:szCs w:val="32"/>
        </w:rPr>
        <w:br w:type="page"/>
      </w:r>
      <w:bookmarkEnd w:id="14"/>
      <w:bookmarkStart w:id="15" w:name="_Toc56692312"/>
      <w:bookmarkEnd w:id="15"/>
      <w:r>
        <w:rPr>
          <w:rFonts w:hint="eastAsia" w:ascii="黑体" w:hAnsi="黑体" w:eastAsia="黑体" w:cs="Times New Roman"/>
          <w:sz w:val="32"/>
          <w:szCs w:val="32"/>
        </w:rPr>
        <w:t>第一章</w:t>
      </w:r>
      <w:r>
        <w:rPr>
          <w:rFonts w:ascii="Arial" w:hAnsi="Arial" w:eastAsia="黑体" w:cs="Times New Roman"/>
          <w:sz w:val="32"/>
          <w:szCs w:val="32"/>
        </w:rPr>
        <w:t xml:space="preserve">  </w:t>
      </w:r>
      <w:r>
        <w:rPr>
          <w:rFonts w:hint="eastAsia" w:ascii="黑体" w:hAnsi="黑体" w:eastAsia="黑体" w:cs="Times New Roman"/>
          <w:sz w:val="32"/>
          <w:szCs w:val="32"/>
        </w:rPr>
        <w:t>总则</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第一条</w:t>
      </w:r>
      <w:r>
        <w:rPr>
          <w:rFonts w:ascii="仿宋_GB2312" w:hAnsi="仿宋_GB2312" w:eastAsia="宋体" w:cs="Times New Roman"/>
          <w:sz w:val="32"/>
          <w:szCs w:val="32"/>
        </w:rPr>
        <w:t xml:space="preserve">  为保障和提高职工退休后的待遇水平，调动职工的劳动积极性，建立人才长效激励机制，增强单位凝聚力，促进单位健康持续发展，根据《企业年金办法》（人力资源和社会保障部令第36号）、《企业年金基金管理办法》（人力资源和社会保障部令第11号）、</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等政策规定，</w:t>
      </w:r>
      <w:r>
        <w:rPr>
          <w:rFonts w:ascii="仿宋_GB2312" w:hAnsi="仿宋_GB2312" w:eastAsia="宋体" w:cs="Times New Roman"/>
          <w:sz w:val="32"/>
          <w:szCs w:val="32"/>
          <w:u w:val="single"/>
        </w:rPr>
        <w:t>××单位</w:t>
      </w:r>
      <w:r>
        <w:rPr>
          <w:rFonts w:ascii="仿宋_GB2312" w:hAnsi="仿宋_GB2312" w:eastAsia="宋体" w:cs="Times New Roman"/>
          <w:sz w:val="32"/>
          <w:szCs w:val="32"/>
        </w:rPr>
        <w:t>决定建立企业年金，并结合实际情况，制定企业年金方案（以下简称本方案）。</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第二条</w:t>
      </w:r>
      <w:r>
        <w:rPr>
          <w:rFonts w:ascii="仿宋_GB2312" w:hAnsi="仿宋_GB2312" w:eastAsia="宋体" w:cs="Times New Roman"/>
          <w:sz w:val="32"/>
          <w:szCs w:val="32"/>
        </w:rPr>
        <w:t xml:space="preserve">  建立企业年金遵循的原则：</w:t>
      </w:r>
    </w:p>
    <w:p>
      <w:pPr>
        <w:ind w:firstLine="640"/>
        <w:rPr>
          <w:rFonts w:ascii="仿宋_GB2312" w:hAnsi="仿宋_GB2312" w:eastAsia="宋体" w:cs="Times New Roman"/>
          <w:sz w:val="32"/>
          <w:szCs w:val="32"/>
          <w:highlight w:val="yellow"/>
        </w:rPr>
      </w:pPr>
      <w:r>
        <w:rPr>
          <w:rFonts w:ascii="仿宋_GB2312" w:hAnsi="仿宋_GB2312" w:eastAsia="宋体" w:cs="Times New Roman"/>
          <w:sz w:val="32"/>
          <w:szCs w:val="32"/>
        </w:rPr>
        <w:t>（一）有利于单位发展。通过建立企业年金增强单位的凝聚力和吸引力，激励职工长期稳定地工作，促进单位与职工共同发展；</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（二）公平与效率相结合。企业年金应覆盖符合条件的职工。单位缴费分配在体现公平的同时兼顾效率；</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（三）平等协商。单位及其职工按照国家相关规定，通过集体协商确定建立企业年金并制定企业年金方案；</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（四）保障安全、适度收益。企业年金基金的管理严格按照国家有关规定执行，按照规定的投资范围进行投资运作，在保障安全的前提下获取适度收益；</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（五）适时变更原则。按照国家政策变化，结合单位经营状况和企业年金运行情况，适时变更企业年金方案。</w:t>
      </w:r>
    </w:p>
    <w:p>
      <w:pPr>
        <w:ind w:left="640"/>
        <w:rPr>
          <w:rFonts w:ascii="仿宋_GB2312" w:hAnsi="仿宋_GB2312" w:eastAsia="宋体" w:cs="Times New Roman"/>
          <w:sz w:val="32"/>
          <w:szCs w:val="32"/>
        </w:rPr>
      </w:pPr>
      <w:r>
        <w:rPr>
          <w:rFonts w:ascii="仿宋_GB2312" w:hAnsi="仿宋_GB2312" w:eastAsia="宋体" w:cs="Times New Roman"/>
          <w:b/>
          <w:bCs/>
          <w:sz w:val="32"/>
          <w:szCs w:val="32"/>
        </w:rPr>
        <w:t>第三条</w:t>
      </w:r>
      <w:r>
        <w:rPr>
          <w:rFonts w:ascii="仿宋_GB2312" w:hAnsi="仿宋_GB2312" w:eastAsia="宋体" w:cs="Times New Roman"/>
          <w:sz w:val="32"/>
          <w:szCs w:val="32"/>
        </w:rPr>
        <w:t xml:space="preserve">  单位建立企业年金的基本条件</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（一）依法参加企业职工基本养老保险并履行缴费义务；</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（二）单位与工会或者职工代表通过集体协商确定建立企业年金；</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（三）其他条件：</w:t>
      </w:r>
      <w:bookmarkStart w:id="78" w:name="_GoBack"/>
      <w:bookmarkEnd w:id="78"/>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第四条</w:t>
      </w:r>
      <w:r>
        <w:rPr>
          <w:rFonts w:ascii="仿宋_GB2312" w:hAnsi="仿宋_GB2312" w:eastAsia="宋体" w:cs="Times New Roman"/>
          <w:sz w:val="32"/>
          <w:szCs w:val="32"/>
        </w:rPr>
        <w:t xml:space="preserve">  实施范围</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本方案适用于</w:t>
      </w:r>
      <w:r>
        <w:rPr>
          <w:rFonts w:ascii="仿宋_GB2312" w:hAnsi="仿宋_GB2312" w:eastAsia="宋体" w:cs="Times New Roman"/>
          <w:sz w:val="32"/>
          <w:szCs w:val="32"/>
          <w:u w:val="single"/>
        </w:rPr>
        <w:t>××单位</w:t>
      </w:r>
      <w:r>
        <w:rPr>
          <w:rFonts w:ascii="仿宋_GB2312" w:hAnsi="仿宋_GB2312" w:eastAsia="宋体" w:cs="Times New Roman"/>
          <w:sz w:val="32"/>
          <w:szCs w:val="32"/>
        </w:rPr>
        <w:t>所属</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单位（单位列表附后，以下统称本单位）。</w:t>
      </w:r>
    </w:p>
    <w:p>
      <w:pPr>
        <w:keepNext/>
        <w:keepLines/>
        <w:spacing w:before="180" w:after="180" w:line="360" w:lineRule="auto"/>
        <w:jc w:val="center"/>
        <w:outlineLvl w:val="1"/>
        <w:rPr>
          <w:rFonts w:ascii="Arial" w:hAnsi="Arial" w:eastAsia="黑体" w:cs="Times New Roman"/>
          <w:sz w:val="32"/>
          <w:szCs w:val="32"/>
        </w:rPr>
      </w:pPr>
      <w:bookmarkStart w:id="16" w:name="_Toc56692313"/>
      <w:bookmarkEnd w:id="16"/>
      <w:bookmarkStart w:id="17" w:name="_Toc243825264"/>
      <w:bookmarkEnd w:id="17"/>
      <w:bookmarkStart w:id="18" w:name="_Toc238376846"/>
      <w:bookmarkEnd w:id="18"/>
      <w:bookmarkStart w:id="19" w:name="_Toc318811832"/>
      <w:bookmarkEnd w:id="19"/>
      <w:bookmarkStart w:id="20" w:name="_Toc500946509"/>
      <w:bookmarkEnd w:id="20"/>
      <w:bookmarkStart w:id="21" w:name="_Toc13246"/>
      <w:r>
        <w:rPr>
          <w:rFonts w:hint="eastAsia" w:ascii="黑体" w:hAnsi="黑体" w:eastAsia="黑体" w:cs="Times New Roman"/>
          <w:sz w:val="32"/>
          <w:szCs w:val="32"/>
        </w:rPr>
        <w:t>第二章</w:t>
      </w:r>
      <w:bookmarkEnd w:id="21"/>
      <w:r>
        <w:rPr>
          <w:rFonts w:ascii="Arial" w:hAnsi="Arial" w:eastAsia="黑体" w:cs="Times New Roman"/>
          <w:sz w:val="32"/>
          <w:szCs w:val="32"/>
        </w:rPr>
        <w:t xml:space="preserve">  </w:t>
      </w:r>
      <w:r>
        <w:rPr>
          <w:rFonts w:hint="eastAsia" w:ascii="黑体" w:hAnsi="黑体" w:eastAsia="黑体" w:cs="Times New Roman"/>
          <w:sz w:val="32"/>
          <w:szCs w:val="32"/>
        </w:rPr>
        <w:t>参加人员</w:t>
      </w:r>
    </w:p>
    <w:p>
      <w:pPr>
        <w:ind w:firstLine="643"/>
        <w:rPr>
          <w:rFonts w:ascii="仿宋_GB2312" w:hAnsi="仿宋_GB2312" w:eastAsia="宋体" w:cs="Times New Roman"/>
          <w:sz w:val="32"/>
          <w:szCs w:val="32"/>
        </w:rPr>
      </w:pPr>
      <w:bookmarkStart w:id="22" w:name="jhp"/>
      <w:bookmarkEnd w:id="22"/>
      <w:r>
        <w:rPr>
          <w:rFonts w:ascii="仿宋_GB2312" w:hAnsi="仿宋_GB2312" w:eastAsia="宋体" w:cs="Times New Roman"/>
          <w:b/>
          <w:bCs/>
          <w:sz w:val="32"/>
          <w:szCs w:val="32"/>
        </w:rPr>
        <w:t>第五条</w:t>
      </w:r>
      <w:r>
        <w:rPr>
          <w:rFonts w:ascii="仿宋_GB2312" w:hAnsi="仿宋_GB2312" w:eastAsia="宋体" w:cs="Times New Roman"/>
          <w:sz w:val="32"/>
          <w:szCs w:val="32"/>
        </w:rPr>
        <w:t xml:space="preserve">  职工参加本方案的条件</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（一）与本单位订立劳动合同并试用期满；</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（二）依法参加企业职工基本养老保险并履行缴费义务；</w:t>
      </w:r>
    </w:p>
    <w:p>
      <w:pPr>
        <w:ind w:firstLine="640"/>
        <w:rPr>
          <w:rFonts w:ascii="仿宋_GB2312" w:hAnsi="仿宋_GB2312" w:eastAsia="宋体" w:cs="Times New Roman"/>
          <w:sz w:val="32"/>
          <w:szCs w:val="32"/>
          <w:u w:val="single"/>
        </w:rPr>
      </w:pPr>
      <w:r>
        <w:rPr>
          <w:rFonts w:ascii="仿宋_GB2312" w:hAnsi="仿宋_GB2312" w:eastAsia="宋体" w:cs="Times New Roman"/>
          <w:sz w:val="32"/>
          <w:szCs w:val="32"/>
        </w:rPr>
        <w:t>（三）其他条件：</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第六条</w:t>
      </w:r>
      <w:r>
        <w:rPr>
          <w:rFonts w:ascii="仿宋_GB2312" w:hAnsi="仿宋_GB2312" w:eastAsia="宋体" w:cs="Times New Roman"/>
          <w:sz w:val="32"/>
          <w:szCs w:val="32"/>
        </w:rPr>
        <w:t xml:space="preserve">  职工参加本方案的程序</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符合上述参加条件的职工，从符合条件的次月起自动加入本方案。</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符合条件但不同意加入本方案的职工，应在符合条件后的下一次发薪日前提交书面申请，经单位审核同意后不加入本方案；放弃加入的职工申请加入本方案，需书面申请，经单位审核同意后加入本方案（附件</w:t>
      </w:r>
      <w:r>
        <w:rPr>
          <w:rFonts w:hint="eastAsia" w:ascii="宋体" w:hAnsi="宋体" w:eastAsia="宋体" w:cs="宋体"/>
          <w:sz w:val="32"/>
          <w:szCs w:val="32"/>
        </w:rPr>
        <w:t>①</w:t>
      </w:r>
      <w:r>
        <w:rPr>
          <w:rFonts w:ascii="仿宋_GB2312" w:hAnsi="仿宋_GB2312" w:eastAsia="宋体" w:cs="Times New Roman"/>
          <w:sz w:val="32"/>
          <w:szCs w:val="32"/>
        </w:rPr>
        <w:t>）。</w:t>
      </w:r>
    </w:p>
    <w:p>
      <w:pPr>
        <w:ind w:firstLine="640"/>
        <w:rPr>
          <w:rFonts w:ascii="仿宋_GB2312" w:hAnsi="仿宋_GB2312" w:eastAsia="宋体" w:cs="Times New Roman"/>
          <w:sz w:val="32"/>
          <w:szCs w:val="32"/>
        </w:rPr>
      </w:pPr>
      <w:r>
        <w:rPr>
          <w:rFonts w:ascii="仿宋_GB2312" w:hAnsi="仿宋_GB2312" w:eastAsia="宋体" w:cs="Times New Roman"/>
          <w:b/>
          <w:bCs/>
          <w:sz w:val="32"/>
          <w:szCs w:val="32"/>
        </w:rPr>
        <w:t>第七条</w:t>
      </w:r>
      <w:r>
        <w:rPr>
          <w:rFonts w:ascii="仿宋_GB2312" w:hAnsi="仿宋_GB2312" w:eastAsia="宋体" w:cs="Times New Roman"/>
          <w:sz w:val="32"/>
          <w:szCs w:val="32"/>
        </w:rPr>
        <w:t xml:space="preserve">  职工退出本方案的条件</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（一）职工与本单位终止或者解除劳动合同；</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（二）职工达到本方案规定的企业年金待遇领取条件；</w:t>
      </w:r>
    </w:p>
    <w:p>
      <w:pPr>
        <w:ind w:firstLine="640"/>
        <w:rPr>
          <w:rFonts w:ascii="仿宋_GB2312" w:hAnsi="仿宋_GB2312" w:eastAsia="宋体" w:cs="Times New Roman"/>
          <w:sz w:val="32"/>
          <w:szCs w:val="32"/>
          <w:u w:val="single"/>
        </w:rPr>
      </w:pPr>
      <w:r>
        <w:rPr>
          <w:rFonts w:ascii="仿宋_GB2312" w:hAnsi="仿宋_GB2312" w:eastAsia="宋体" w:cs="Times New Roman"/>
          <w:sz w:val="32"/>
          <w:szCs w:val="32"/>
        </w:rPr>
        <w:t>（三）其他：</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left="640"/>
        <w:rPr>
          <w:rFonts w:ascii="仿宋_GB2312" w:hAnsi="仿宋_GB2312" w:eastAsia="宋体" w:cs="Times New Roman"/>
          <w:sz w:val="32"/>
          <w:szCs w:val="32"/>
        </w:rPr>
      </w:pPr>
      <w:r>
        <w:rPr>
          <w:rFonts w:ascii="仿宋_GB2312" w:hAnsi="仿宋_GB2312" w:eastAsia="宋体" w:cs="Times New Roman"/>
          <w:b/>
          <w:bCs/>
          <w:sz w:val="32"/>
          <w:szCs w:val="32"/>
        </w:rPr>
        <w:t>第八条</w:t>
      </w:r>
      <w:r>
        <w:rPr>
          <w:rFonts w:ascii="仿宋_GB2312" w:hAnsi="仿宋_GB2312" w:eastAsia="宋体" w:cs="Times New Roman"/>
          <w:sz w:val="32"/>
          <w:szCs w:val="32"/>
        </w:rPr>
        <w:t xml:space="preserve">  职工退出本方案的程序</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职工达到第七条退出条件后，单位停止其企业年金缴费，按照本方案第十九条处理其个人账户或者按照本方案第二十九条支付企业年金待遇。</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第九条</w:t>
      </w:r>
      <w:r>
        <w:rPr>
          <w:rFonts w:ascii="仿宋_GB2312" w:hAnsi="仿宋_GB2312" w:eastAsia="宋体" w:cs="Times New Roman"/>
          <w:sz w:val="32"/>
          <w:szCs w:val="32"/>
        </w:rPr>
        <w:t xml:space="preserve">  职工的权利和义务</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（一）职工的权利</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1.根据法律法规规定及本方案约定，了解、查询企业年金基金个人账户基本情况；</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2.在满足本方案规定的权益归属条件后，职工对个人账户中已经归属的权益拥有所有权；</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3.在满足本方案规定的领取条件后，职工享有领取企业年金待遇的权利；</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4.由于自身原因，职工可以申请本人中止缴费；原因消失后，可以申请恢复缴费；</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5.职工与本单位终止、解除劳动合同的，其个人账户转移或者保留按照本方案第十九条规定处理。</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（二）职工的义务</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1.授权本单位根据本方案规定从职工工资中代扣代缴个人缴费；</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2.授权本单位和本计划管理机构按国家有关规定代扣代缴个人所得税；</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3.授权</w:t>
      </w:r>
      <w:r>
        <w:rPr>
          <w:rFonts w:ascii="仿宋_GB2312" w:hAnsi="仿宋_GB2312" w:eastAsia="宋体" w:cs="Times New Roman"/>
          <w:sz w:val="32"/>
          <w:szCs w:val="32"/>
          <w:u w:val="single"/>
        </w:rPr>
        <w:t>××单位</w:t>
      </w:r>
      <w:r>
        <w:rPr>
          <w:rFonts w:ascii="仿宋_GB2312" w:hAnsi="仿宋_GB2312" w:eastAsia="宋体" w:cs="Times New Roman"/>
          <w:sz w:val="32"/>
          <w:szCs w:val="32"/>
        </w:rPr>
        <w:t>选择受托人并签订受托管理合同；</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4.授权本单位代表职工对企业年金计划进行管理监督；</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5.提供个人相关基本信息。当相关基本信息发生变动时，及时向本单位提供变动情况。</w:t>
      </w:r>
    </w:p>
    <w:p>
      <w:pPr>
        <w:keepNext/>
        <w:keepLines/>
        <w:spacing w:before="180" w:after="180" w:line="360" w:lineRule="auto"/>
        <w:jc w:val="center"/>
        <w:outlineLvl w:val="1"/>
        <w:rPr>
          <w:rFonts w:ascii="Arial" w:hAnsi="Arial" w:eastAsia="黑体" w:cs="Times New Roman"/>
          <w:sz w:val="32"/>
          <w:szCs w:val="32"/>
        </w:rPr>
      </w:pPr>
      <w:bookmarkStart w:id="23" w:name="_Toc238376848"/>
      <w:bookmarkEnd w:id="23"/>
      <w:bookmarkStart w:id="24" w:name="_Toc500946510"/>
      <w:bookmarkEnd w:id="24"/>
      <w:bookmarkStart w:id="25" w:name="_Toc318811833"/>
      <w:bookmarkEnd w:id="25"/>
      <w:bookmarkStart w:id="26" w:name="_Toc243825266"/>
      <w:bookmarkEnd w:id="26"/>
      <w:bookmarkStart w:id="27" w:name="_Toc31977"/>
      <w:bookmarkEnd w:id="27"/>
      <w:bookmarkStart w:id="28" w:name="_Toc56692314"/>
      <w:r>
        <w:rPr>
          <w:rFonts w:hint="eastAsia" w:ascii="黑体" w:hAnsi="黑体" w:eastAsia="黑体" w:cs="Times New Roman"/>
          <w:sz w:val="32"/>
          <w:szCs w:val="32"/>
        </w:rPr>
        <w:t>第三章</w:t>
      </w:r>
      <w:bookmarkEnd w:id="28"/>
      <w:r>
        <w:rPr>
          <w:rFonts w:ascii="Arial" w:hAnsi="Arial" w:eastAsia="黑体" w:cs="Times New Roman"/>
          <w:sz w:val="32"/>
          <w:szCs w:val="32"/>
        </w:rPr>
        <w:t xml:space="preserve">  </w:t>
      </w:r>
      <w:r>
        <w:rPr>
          <w:rFonts w:hint="eastAsia" w:ascii="黑体" w:hAnsi="黑体" w:eastAsia="黑体" w:cs="Times New Roman"/>
          <w:sz w:val="32"/>
          <w:szCs w:val="32"/>
        </w:rPr>
        <w:t>资金筹集与分配</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第十条</w:t>
      </w:r>
      <w:r>
        <w:rPr>
          <w:rFonts w:ascii="仿宋_GB2312" w:hAnsi="仿宋_GB2312" w:eastAsia="宋体" w:cs="Times New Roman"/>
          <w:sz w:val="32"/>
          <w:szCs w:val="32"/>
        </w:rPr>
        <w:t xml:space="preserve">  企业年金所需费用由单位和职工共同承担。单位缴费的列支渠道按照国家有关规定执行；职工个人缴费由单位从职工工资中代扣代缴。</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第十一条</w:t>
      </w:r>
      <w:r>
        <w:rPr>
          <w:rFonts w:ascii="仿宋_GB2312" w:hAnsi="仿宋_GB2312" w:eastAsia="宋体" w:cs="Times New Roman"/>
          <w:sz w:val="32"/>
          <w:szCs w:val="32"/>
        </w:rPr>
        <w:t xml:space="preserve">  单位缴费及分配</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方式1：单位年缴费总额不超过</w:t>
      </w:r>
      <w:r>
        <w:rPr>
          <w:rFonts w:ascii="仿宋_GB2312" w:hAnsi="仿宋_GB2312" w:eastAsia="宋体" w:cs="Times New Roman"/>
          <w:sz w:val="32"/>
          <w:szCs w:val="32"/>
          <w:u w:val="single"/>
        </w:rPr>
        <w:t>□本年度、□上年度</w:t>
      </w:r>
      <w:r>
        <w:rPr>
          <w:rFonts w:ascii="仿宋_GB2312" w:hAnsi="仿宋_GB2312" w:eastAsia="宋体" w:cs="Times New Roman"/>
          <w:sz w:val="32"/>
          <w:szCs w:val="32"/>
        </w:rPr>
        <w:t>工资总额的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％；下属单位可根据实际情况，在实施细则中明确具体缴费比例及分配办法；</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方式2：单位缴费分配至职工个人账户的金额为职工个人缴费基数的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%，单位缴费总额为单位为参加计划职工缴费的合计金额。经测算，方案实施第一年企业缴费为</w:t>
      </w:r>
      <w:r>
        <w:rPr>
          <w:rFonts w:ascii="仿宋_GB2312" w:hAnsi="仿宋_GB2312" w:eastAsia="宋体" w:cs="Times New Roman"/>
          <w:sz w:val="32"/>
          <w:szCs w:val="32"/>
          <w:u w:val="single"/>
        </w:rPr>
        <w:t>□本年度、□上年度</w:t>
      </w:r>
      <w:r>
        <w:rPr>
          <w:rFonts w:ascii="仿宋_GB2312" w:hAnsi="仿宋_GB2312" w:eastAsia="宋体" w:cs="Times New Roman"/>
          <w:sz w:val="32"/>
          <w:szCs w:val="32"/>
        </w:rPr>
        <w:t>工资总额的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3"/>
        <w:jc w:val="left"/>
        <w:rPr>
          <w:rFonts w:ascii="仿宋_GB2312" w:hAnsi="仿宋_GB2312" w:eastAsia="宋体" w:cs="Times New Roman"/>
          <w:sz w:val="32"/>
          <w:szCs w:val="32"/>
        </w:rPr>
      </w:pPr>
      <w:r>
        <w:rPr>
          <w:rFonts w:ascii="仿宋_GB2312" w:hAnsi="仿宋_GB2312" w:eastAsia="宋体" w:cs="Times New Roman"/>
          <w:sz w:val="32"/>
          <w:szCs w:val="32"/>
        </w:rPr>
        <w:t>方式3：单位年缴费总额为</w:t>
      </w:r>
      <w:r>
        <w:rPr>
          <w:rFonts w:ascii="仿宋_GB2312" w:hAnsi="仿宋_GB2312" w:eastAsia="宋体" w:cs="Times New Roman"/>
          <w:sz w:val="32"/>
          <w:szCs w:val="32"/>
          <w:u w:val="single"/>
        </w:rPr>
        <w:t>□本年度、□上年度</w:t>
      </w:r>
      <w:r>
        <w:rPr>
          <w:rFonts w:ascii="仿宋_GB2312" w:hAnsi="仿宋_GB2312" w:eastAsia="宋体" w:cs="Times New Roman"/>
          <w:sz w:val="32"/>
          <w:szCs w:val="32"/>
        </w:rPr>
        <w:t>工资总额的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%，按照参加计划职工个人缴费基数的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 xml:space="preserve">%分配至职工个人账户，剩余部分记入企业账户； </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方式4：单位年缴费总额为</w:t>
      </w:r>
      <w:r>
        <w:rPr>
          <w:rFonts w:ascii="仿宋_GB2312" w:hAnsi="仿宋_GB2312" w:eastAsia="宋体" w:cs="Times New Roman"/>
          <w:sz w:val="32"/>
          <w:szCs w:val="32"/>
          <w:u w:val="single"/>
        </w:rPr>
        <w:t>□本年度、□上年度</w:t>
      </w:r>
      <w:r>
        <w:rPr>
          <w:rFonts w:ascii="仿宋_GB2312" w:hAnsi="仿宋_GB2312" w:eastAsia="宋体" w:cs="Times New Roman"/>
          <w:sz w:val="32"/>
          <w:szCs w:val="32"/>
        </w:rPr>
        <w:t>工资总额的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%，按照职工个人缴费基数的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%分配至职工个人账户，剩余部分记入企业账户，用以对本单位建年金后</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年内退休且退休时企业年金个人账户中单位缴费部分及投资收益积累额达不到本单位建立年金前自行发放的养老性质补贴标准的职工的补偿</w:t>
      </w:r>
      <w:r>
        <w:rPr>
          <w:rFonts w:ascii="仿宋_GB2312" w:hAnsi="仿宋_GB2312" w:eastAsia="宋体" w:cs="Arial"/>
          <w:sz w:val="32"/>
          <w:szCs w:val="32"/>
        </w:rPr>
        <w:t>。</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补偿资金发放办法为：</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企业账户补偿资金完成积累后，单位调整单位缴费分配办法，履行本方案第三十二条规定程序后实施。</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方式5：</w:t>
      </w:r>
      <w:r>
        <w:rPr>
          <w:rFonts w:ascii="仿宋_GB2312" w:hAnsi="仿宋_GB2312" w:eastAsia="宋体" w:cs="Times New Roman"/>
          <w:sz w:val="32"/>
          <w:szCs w:val="32"/>
          <w:u w:val="single"/>
        </w:rPr>
        <w:t>（其他方式）</w:t>
      </w:r>
      <w:r>
        <w:rPr>
          <w:rFonts w:ascii="仿宋_GB2312" w:hAnsi="仿宋_GB2312" w:eastAsia="宋体" w:cs="Times New Roman"/>
          <w:sz w:val="32"/>
          <w:szCs w:val="32"/>
        </w:rPr>
        <w:t>。</w:t>
      </w:r>
    </w:p>
    <w:p>
      <w:pPr>
        <w:ind w:firstLine="643"/>
        <w:rPr>
          <w:rFonts w:ascii="仿宋_GB2312" w:hAnsi="仿宋_GB2312" w:eastAsia="宋体" w:cs="Times New Roman"/>
          <w:sz w:val="32"/>
          <w:szCs w:val="32"/>
          <w:u w:val="single"/>
        </w:rPr>
      </w:pPr>
      <w:r>
        <w:rPr>
          <w:rFonts w:ascii="仿宋_GB2312" w:hAnsi="仿宋_GB2312" w:eastAsia="宋体" w:cs="Times New Roman"/>
          <w:b/>
          <w:bCs/>
          <w:sz w:val="32"/>
          <w:szCs w:val="32"/>
        </w:rPr>
        <w:t>第十二条</w:t>
      </w:r>
      <w:r>
        <w:rPr>
          <w:rFonts w:ascii="仿宋_GB2312" w:hAnsi="仿宋_GB2312" w:eastAsia="宋体" w:cs="Times New Roman"/>
          <w:sz w:val="32"/>
          <w:szCs w:val="32"/>
        </w:rPr>
        <w:t xml:space="preserve">  个人缴费</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方式1：职工个人缴费为本人缴费基数的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%，职工个人缴费基数为</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0"/>
        <w:rPr>
          <w:rFonts w:ascii="仿宋_GB2312" w:hAnsi="仿宋_GB2312" w:eastAsia="宋体" w:cs="Times New Roman"/>
          <w:sz w:val="32"/>
          <w:szCs w:val="32"/>
          <w:u w:val="single"/>
        </w:rPr>
      </w:pPr>
      <w:r>
        <w:rPr>
          <w:rFonts w:ascii="仿宋_GB2312" w:hAnsi="仿宋_GB2312" w:eastAsia="宋体" w:cs="Times New Roman"/>
          <w:sz w:val="32"/>
          <w:szCs w:val="32"/>
        </w:rPr>
        <w:t>方式2：职工个人缴费为单位为其缴费的</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0"/>
        <w:rPr>
          <w:rFonts w:ascii="Calibri" w:hAnsi="Calibri" w:eastAsia="宋体" w:cs="Times New Roman"/>
          <w:szCs w:val="21"/>
        </w:rPr>
      </w:pPr>
      <w:r>
        <w:rPr>
          <w:rFonts w:ascii="仿宋_GB2312" w:hAnsi="仿宋_GB2312" w:eastAsia="宋体" w:cs="Times New Roman"/>
          <w:sz w:val="32"/>
          <w:szCs w:val="32"/>
        </w:rPr>
        <w:t>方式3：</w:t>
      </w:r>
      <w:r>
        <w:rPr>
          <w:rFonts w:ascii="仿宋_GB2312" w:hAnsi="仿宋_GB2312" w:eastAsia="宋体" w:cs="Times New Roman"/>
          <w:sz w:val="32"/>
          <w:szCs w:val="32"/>
          <w:u w:val="single"/>
        </w:rPr>
        <w:t>（其他方式）</w:t>
      </w:r>
      <w:r>
        <w:rPr>
          <w:rFonts w:ascii="仿宋_GB2312" w:hAnsi="仿宋_GB2312" w:eastAsia="宋体" w:cs="Times New Roman"/>
          <w:sz w:val="32"/>
          <w:szCs w:val="32"/>
        </w:rPr>
        <w:t>。</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第十三条</w:t>
      </w:r>
      <w:r>
        <w:rPr>
          <w:rFonts w:ascii="仿宋_GB2312" w:hAnsi="仿宋_GB2312" w:eastAsia="宋体" w:cs="Times New Roman"/>
          <w:sz w:val="32"/>
          <w:szCs w:val="32"/>
        </w:rPr>
        <w:t xml:space="preserve">  单位当期缴费分配至职工个人账户的最高额不得超过平均额的5倍。超过平均额5倍的部分，记入企业账户。</w:t>
      </w:r>
    </w:p>
    <w:p>
      <w:pPr>
        <w:ind w:firstLine="643"/>
        <w:rPr>
          <w:rFonts w:ascii="仿宋_GB2312" w:hAnsi="仿宋_GB2312" w:eastAsia="宋体" w:cs="Times New Roman"/>
          <w:sz w:val="32"/>
          <w:szCs w:val="32"/>
        </w:rPr>
      </w:pPr>
      <w:r>
        <w:rPr>
          <w:rFonts w:ascii="仿宋_GB2312" w:hAnsi="仿宋_GB2312" w:eastAsia="宋体" w:cs="Times New Roman"/>
          <w:sz w:val="32"/>
          <w:szCs w:val="32"/>
        </w:rPr>
        <w:t>企业账户资金不得用于抵缴未来年度单位缴费。</w:t>
      </w:r>
    </w:p>
    <w:p>
      <w:pPr>
        <w:ind w:firstLine="643" w:firstLineChars="200"/>
        <w:rPr>
          <w:rFonts w:ascii="仿宋_GB2312" w:hAnsi="仿宋_GB2312" w:eastAsia="宋体" w:cs="Times New Roman"/>
          <w:sz w:val="32"/>
          <w:szCs w:val="32"/>
        </w:rPr>
      </w:pPr>
      <w:r>
        <w:rPr>
          <w:rFonts w:ascii="仿宋_GB2312" w:hAnsi="仿宋_GB2312" w:eastAsia="宋体" w:cs="Times New Roman"/>
          <w:b/>
          <w:bCs/>
          <w:sz w:val="32"/>
          <w:szCs w:val="32"/>
        </w:rPr>
        <w:t>第十四条</w:t>
      </w:r>
      <w:r>
        <w:rPr>
          <w:rFonts w:ascii="仿宋_GB2312" w:hAnsi="仿宋_GB2312" w:eastAsia="宋体" w:cs="Times New Roman"/>
          <w:sz w:val="32"/>
          <w:szCs w:val="32"/>
        </w:rPr>
        <w:t xml:space="preserve">  企业账户余额分配至职工企业年金个人账户的方式为：</w:t>
      </w:r>
    </w:p>
    <w:p>
      <w:pPr>
        <w:ind w:firstLine="640" w:firstLineChars="200"/>
        <w:rPr>
          <w:rFonts w:ascii="Arial" w:hAnsi="Arial" w:eastAsia="仿宋_GB2312" w:cs="Arial"/>
          <w:sz w:val="32"/>
          <w:szCs w:val="32"/>
        </w:rPr>
      </w:pPr>
      <w:r>
        <w:rPr>
          <w:rFonts w:ascii="仿宋_GB2312" w:hAnsi="仿宋_GB2312" w:eastAsia="宋体" w:cs="Times New Roman"/>
          <w:sz w:val="32"/>
          <w:szCs w:val="32"/>
        </w:rPr>
        <w:t>方式1：企业账户余额</w:t>
      </w:r>
      <w:r>
        <w:rPr>
          <w:rFonts w:ascii="Arial" w:hAnsi="Arial" w:eastAsia="仿宋_GB2312" w:cs="Arial"/>
          <w:sz w:val="32"/>
          <w:szCs w:val="32"/>
        </w:rPr>
        <w:t>÷</w:t>
      </w:r>
      <w:r>
        <w:rPr>
          <w:rFonts w:ascii="仿宋_GB2312" w:hAnsi="仿宋_GB2312" w:eastAsia="宋体" w:cs="Arial"/>
          <w:sz w:val="32"/>
          <w:szCs w:val="32"/>
        </w:rPr>
        <w:t>本单位企业年金个人账户（包括</w:t>
      </w:r>
      <w:r>
        <w:rPr>
          <w:rFonts w:ascii="Arial" w:hAnsi="Arial" w:eastAsia="宋体" w:cs="Arial"/>
          <w:sz w:val="32"/>
          <w:szCs w:val="32"/>
        </w:rPr>
        <w:t>□正常缴费账户、□退休支付账户、</w:t>
      </w:r>
      <w:r>
        <w:rPr>
          <w:rFonts w:ascii="仿宋_GB2312" w:hAnsi="仿宋_GB2312" w:eastAsia="宋体" w:cs="Times New Roman"/>
          <w:sz w:val="32"/>
          <w:szCs w:val="32"/>
        </w:rPr>
        <w:t>□离职保留账户</w:t>
      </w:r>
      <w:r>
        <w:rPr>
          <w:rFonts w:ascii="仿宋_GB2312" w:hAnsi="仿宋_GB2312" w:eastAsia="宋体" w:cs="Arial"/>
          <w:sz w:val="32"/>
          <w:szCs w:val="32"/>
        </w:rPr>
        <w:t>，下同）数量；</w:t>
      </w:r>
    </w:p>
    <w:p>
      <w:pPr>
        <w:ind w:firstLine="640" w:firstLineChars="200"/>
        <w:rPr>
          <w:rFonts w:ascii="Arial" w:hAnsi="Arial" w:eastAsia="仿宋_GB2312" w:cs="Arial"/>
          <w:sz w:val="32"/>
          <w:szCs w:val="32"/>
        </w:rPr>
      </w:pPr>
      <w:r>
        <w:rPr>
          <w:rFonts w:ascii="仿宋_GB2312" w:hAnsi="仿宋_GB2312" w:eastAsia="宋体" w:cs="Times New Roman"/>
          <w:sz w:val="32"/>
          <w:szCs w:val="32"/>
        </w:rPr>
        <w:t>方式2：企业账户余额</w:t>
      </w:r>
      <w:r>
        <w:rPr>
          <w:rFonts w:ascii="Arial" w:hAnsi="Arial" w:eastAsia="仿宋_GB2312" w:cs="Arial"/>
          <w:sz w:val="32"/>
          <w:szCs w:val="32"/>
        </w:rPr>
        <w:t>×</w:t>
      </w:r>
      <w:r>
        <w:rPr>
          <w:rFonts w:ascii="仿宋_GB2312" w:hAnsi="仿宋_GB2312" w:eastAsia="宋体" w:cs="Arial"/>
          <w:sz w:val="32"/>
          <w:szCs w:val="32"/>
        </w:rPr>
        <w:t>（个人账户余额</w:t>
      </w:r>
      <w:r>
        <w:rPr>
          <w:rFonts w:ascii="Arial" w:hAnsi="Arial" w:eastAsia="仿宋_GB2312" w:cs="Arial"/>
          <w:sz w:val="32"/>
          <w:szCs w:val="32"/>
        </w:rPr>
        <w:t>÷</w:t>
      </w:r>
      <w:r>
        <w:rPr>
          <w:rFonts w:ascii="仿宋_GB2312" w:hAnsi="仿宋_GB2312" w:eastAsia="宋体" w:cs="Arial"/>
          <w:sz w:val="32"/>
          <w:szCs w:val="32"/>
        </w:rPr>
        <w:t>本单位企业年金基金资产总额）；</w:t>
      </w:r>
    </w:p>
    <w:p>
      <w:pPr>
        <w:ind w:firstLine="640" w:firstLineChars="200"/>
        <w:rPr>
          <w:rFonts w:ascii="Arial" w:hAnsi="Arial" w:eastAsia="仿宋_GB2312" w:cs="Arial"/>
          <w:sz w:val="32"/>
          <w:szCs w:val="32"/>
        </w:rPr>
      </w:pPr>
      <w:r>
        <w:rPr>
          <w:rFonts w:ascii="仿宋_GB2312" w:hAnsi="仿宋_GB2312" w:eastAsia="宋体" w:cs="Arial"/>
          <w:sz w:val="32"/>
          <w:szCs w:val="32"/>
        </w:rPr>
        <w:t>方式</w:t>
      </w:r>
      <w:r>
        <w:rPr>
          <w:rFonts w:ascii="仿宋_GB2312" w:hAnsi="仿宋_GB2312" w:eastAsia="宋体" w:cs="Times New Roman"/>
          <w:sz w:val="32"/>
          <w:szCs w:val="32"/>
        </w:rPr>
        <w:t>3</w:t>
      </w:r>
      <w:r>
        <w:rPr>
          <w:rFonts w:ascii="仿宋_GB2312" w:hAnsi="仿宋_GB2312" w:eastAsia="宋体" w:cs="Arial"/>
          <w:sz w:val="32"/>
          <w:szCs w:val="32"/>
        </w:rPr>
        <w:t>：</w:t>
      </w:r>
      <w:r>
        <w:rPr>
          <w:rFonts w:ascii="仿宋_GB2312" w:hAnsi="仿宋_GB2312" w:eastAsia="宋体" w:cs="Times New Roman"/>
          <w:sz w:val="32"/>
          <w:szCs w:val="32"/>
        </w:rPr>
        <w:t>企业账户余额</w:t>
      </w:r>
      <w:r>
        <w:rPr>
          <w:rFonts w:ascii="Arial" w:hAnsi="Arial" w:eastAsia="仿宋_GB2312" w:cs="Arial"/>
          <w:sz w:val="32"/>
          <w:szCs w:val="32"/>
        </w:rPr>
        <w:t>×</w:t>
      </w:r>
      <w:r>
        <w:rPr>
          <w:rFonts w:ascii="仿宋_GB2312" w:hAnsi="仿宋_GB2312" w:eastAsia="宋体" w:cs="Arial"/>
          <w:sz w:val="32"/>
          <w:szCs w:val="32"/>
        </w:rPr>
        <w:t>（最后一次单位缴费划入职工个人账户金额</w:t>
      </w:r>
      <w:r>
        <w:rPr>
          <w:rFonts w:ascii="Arial" w:hAnsi="Arial" w:eastAsia="仿宋_GB2312" w:cs="Arial"/>
          <w:sz w:val="32"/>
          <w:szCs w:val="32"/>
        </w:rPr>
        <w:t>÷</w:t>
      </w:r>
      <w:r>
        <w:rPr>
          <w:rFonts w:ascii="仿宋_GB2312" w:hAnsi="仿宋_GB2312" w:eastAsia="宋体" w:cs="Arial"/>
          <w:sz w:val="32"/>
          <w:szCs w:val="32"/>
        </w:rPr>
        <w:t>最后一次单位缴费总额）；</w:t>
      </w:r>
    </w:p>
    <w:p>
      <w:pPr>
        <w:ind w:firstLine="640" w:firstLineChars="200"/>
        <w:rPr>
          <w:rFonts w:ascii="Arial" w:hAnsi="Arial" w:eastAsia="仿宋_GB2312" w:cs="Arial"/>
          <w:sz w:val="32"/>
          <w:szCs w:val="32"/>
        </w:rPr>
      </w:pPr>
      <w:r>
        <w:rPr>
          <w:rFonts w:ascii="仿宋_GB2312" w:hAnsi="仿宋_GB2312" w:eastAsia="宋体" w:cs="Times New Roman"/>
          <w:sz w:val="32"/>
          <w:szCs w:val="32"/>
        </w:rPr>
        <w:t>方式4：</w:t>
      </w:r>
      <w:r>
        <w:rPr>
          <w:rFonts w:ascii="仿宋_GB2312" w:hAnsi="仿宋_GB2312" w:eastAsia="宋体" w:cs="Times New Roman"/>
          <w:sz w:val="32"/>
          <w:szCs w:val="32"/>
          <w:u w:val="single"/>
        </w:rPr>
        <w:t>（其他方式）</w:t>
      </w:r>
      <w:r>
        <w:rPr>
          <w:rFonts w:ascii="仿宋_GB2312" w:hAnsi="仿宋_GB2312" w:eastAsia="宋体" w:cs="Times New Roman"/>
          <w:sz w:val="32"/>
          <w:szCs w:val="32"/>
        </w:rPr>
        <w:t>。</w:t>
      </w:r>
    </w:p>
    <w:p>
      <w:pPr>
        <w:ind w:firstLine="643"/>
        <w:rPr>
          <w:rFonts w:ascii="Arial" w:hAnsi="Arial" w:eastAsia="仿宋_GB2312" w:cs="Arial"/>
          <w:sz w:val="32"/>
          <w:szCs w:val="32"/>
        </w:rPr>
      </w:pPr>
      <w:r>
        <w:rPr>
          <w:rFonts w:ascii="仿宋_GB2312" w:hAnsi="仿宋_GB2312" w:eastAsia="宋体" w:cs="Times New Roman"/>
          <w:sz w:val="32"/>
          <w:szCs w:val="32"/>
        </w:rPr>
        <w:t>企业账户余额（</w:t>
      </w:r>
      <w:r>
        <w:rPr>
          <w:rFonts w:ascii="Arial" w:hAnsi="Arial" w:eastAsia="宋体" w:cs="Arial"/>
          <w:sz w:val="32"/>
          <w:szCs w:val="32"/>
        </w:rPr>
        <w:t>□每年、□</w:t>
      </w:r>
      <w:r>
        <w:rPr>
          <w:rFonts w:ascii="仿宋_GB2312" w:hAnsi="仿宋_GB2312" w:eastAsia="宋体" w:cs="Times New Roman"/>
          <w:sz w:val="32"/>
          <w:szCs w:val="32"/>
          <w:u w:val="single"/>
        </w:rPr>
        <w:t>（其他方式）</w:t>
      </w:r>
      <w:r>
        <w:rPr>
          <w:rFonts w:ascii="仿宋_GB2312" w:hAnsi="仿宋_GB2312" w:eastAsia="宋体" w:cs="Times New Roman"/>
          <w:sz w:val="32"/>
          <w:szCs w:val="32"/>
        </w:rPr>
        <w:t>）分配一次，</w:t>
      </w:r>
      <w:r>
        <w:rPr>
          <w:rFonts w:ascii="仿宋_GB2312" w:hAnsi="仿宋_GB2312" w:eastAsia="宋体" w:cs="Arial"/>
          <w:sz w:val="32"/>
          <w:szCs w:val="32"/>
        </w:rPr>
        <w:t>分配差距按照企业当期缴费分配差距的规定执行。</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第十五条</w:t>
      </w:r>
      <w:r>
        <w:rPr>
          <w:rFonts w:ascii="仿宋_GB2312" w:hAnsi="仿宋_GB2312" w:eastAsia="宋体" w:cs="Times New Roman"/>
          <w:sz w:val="32"/>
          <w:szCs w:val="32"/>
        </w:rPr>
        <w:t xml:space="preserve">  单位按</w:t>
      </w:r>
      <w:r>
        <w:rPr>
          <w:rFonts w:ascii="仿宋_GB2312" w:hAnsi="仿宋_GB2312" w:eastAsia="宋体" w:cs="Times New Roman"/>
          <w:sz w:val="32"/>
          <w:szCs w:val="32"/>
          <w:u w:val="single"/>
        </w:rPr>
        <w:t>（□月、□季度、□年度）</w:t>
      </w:r>
      <w:r>
        <w:rPr>
          <w:rFonts w:ascii="仿宋_GB2312" w:hAnsi="仿宋_GB2312" w:eastAsia="宋体" w:cs="Times New Roman"/>
          <w:sz w:val="32"/>
          <w:szCs w:val="32"/>
        </w:rPr>
        <w:t>将全部缴费款项按时、足额汇至托管人开立的企业年金基金受托财产托管账户。</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第十六条</w:t>
      </w:r>
      <w:r>
        <w:rPr>
          <w:rFonts w:ascii="仿宋_GB2312" w:hAnsi="仿宋_GB2312" w:eastAsia="宋体" w:cs="Times New Roman"/>
          <w:sz w:val="32"/>
          <w:szCs w:val="32"/>
        </w:rPr>
        <w:t xml:space="preserve">  企业年金缴费的中止、恢复和补缴</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单位出现经营亏损、重组并购等特殊情况无法履行缴费义务时，经与职工一方协商，可以中止单位缴费，职工同时中止个人缴费。不能继续缴费的情况消失后单位恢复缴费，职工同时恢复个人缴费。恢复缴费后单位和职工可以视经济情况按照中止时的方案内容予以补缴。补缴年限和金额不得超过实际中止缴费的年限和金额；</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（二）职工由于自身原因申请中止或者恢复个人缴费，需填写《职工中止（恢复）企业年金缴费申请表》（附件</w:t>
      </w:r>
      <w:r>
        <w:rPr>
          <w:rFonts w:hint="eastAsia" w:ascii="宋体" w:hAnsi="宋体" w:eastAsia="宋体" w:cs="宋体"/>
          <w:sz w:val="32"/>
          <w:szCs w:val="32"/>
        </w:rPr>
        <w:t>②</w:t>
      </w:r>
      <w:r>
        <w:rPr>
          <w:rFonts w:ascii="仿宋_GB2312" w:hAnsi="仿宋_GB2312" w:eastAsia="宋体" w:cs="Times New Roman"/>
          <w:sz w:val="32"/>
          <w:szCs w:val="32"/>
        </w:rPr>
        <w:t>），并经本单位确认后执行。个人中止缴费期间，单位缴费也相应中止，个人账户继续在本计划中管理；个人恢复缴费时单位缴费也同时恢复；不弥补中止缴费期间的单位和个人缴费。</w:t>
      </w:r>
    </w:p>
    <w:p>
      <w:pPr>
        <w:keepNext/>
        <w:keepLines/>
        <w:spacing w:before="180" w:after="180" w:line="360" w:lineRule="auto"/>
        <w:jc w:val="center"/>
        <w:outlineLvl w:val="1"/>
        <w:rPr>
          <w:rFonts w:ascii="Arial" w:hAnsi="Arial" w:eastAsia="黑体" w:cs="Times New Roman"/>
          <w:sz w:val="32"/>
          <w:szCs w:val="32"/>
        </w:rPr>
      </w:pPr>
      <w:bookmarkStart w:id="29" w:name="_Toc318811834"/>
      <w:bookmarkEnd w:id="29"/>
      <w:bookmarkStart w:id="30" w:name="_Toc500946511"/>
      <w:bookmarkEnd w:id="30"/>
      <w:bookmarkStart w:id="31" w:name="_Toc243825267"/>
      <w:bookmarkEnd w:id="31"/>
      <w:bookmarkStart w:id="32" w:name="_Toc238376849"/>
      <w:bookmarkEnd w:id="32"/>
      <w:bookmarkStart w:id="33" w:name="_Toc15155"/>
      <w:bookmarkEnd w:id="33"/>
      <w:bookmarkStart w:id="34" w:name="_Toc56692315"/>
      <w:r>
        <w:rPr>
          <w:rFonts w:hint="eastAsia" w:ascii="黑体" w:hAnsi="黑体" w:eastAsia="黑体" w:cs="Times New Roman"/>
          <w:sz w:val="32"/>
          <w:szCs w:val="32"/>
        </w:rPr>
        <w:t>第四章</w:t>
      </w:r>
      <w:bookmarkEnd w:id="34"/>
      <w:r>
        <w:rPr>
          <w:rFonts w:ascii="Arial" w:hAnsi="Arial" w:eastAsia="黑体" w:cs="Times New Roman"/>
          <w:sz w:val="32"/>
          <w:szCs w:val="32"/>
        </w:rPr>
        <w:t xml:space="preserve">  </w:t>
      </w:r>
      <w:r>
        <w:rPr>
          <w:rFonts w:hint="eastAsia" w:ascii="黑体" w:hAnsi="黑体" w:eastAsia="黑体" w:cs="Times New Roman"/>
          <w:sz w:val="32"/>
          <w:szCs w:val="32"/>
        </w:rPr>
        <w:t>账户管理</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第十七条</w:t>
      </w:r>
      <w:r>
        <w:rPr>
          <w:rFonts w:ascii="仿宋_GB2312" w:hAnsi="仿宋_GB2312" w:eastAsia="宋体" w:cs="Times New Roman"/>
          <w:sz w:val="32"/>
          <w:szCs w:val="32"/>
        </w:rPr>
        <w:t xml:space="preserve">  本计划实行完全积累，为每一个参加职工开立企业年金个人账户，同时建立企业账户用于记录暂未分配至个人账户的单位缴费及其投资收益。</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第十八条</w:t>
      </w:r>
      <w:r>
        <w:rPr>
          <w:rFonts w:ascii="仿宋_GB2312" w:hAnsi="仿宋_GB2312" w:eastAsia="宋体" w:cs="Times New Roman"/>
          <w:sz w:val="32"/>
          <w:szCs w:val="32"/>
        </w:rPr>
        <w:t xml:space="preserve">  个人账户下设单位缴费子账户和个人缴费子账户，分别记录单位缴费分配给职工个人的部分及其投资收益、职工个人缴费及其投资收益。</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第十九条</w:t>
      </w:r>
      <w:r>
        <w:rPr>
          <w:rFonts w:ascii="仿宋_GB2312" w:hAnsi="仿宋_GB2312" w:eastAsia="宋体" w:cs="Times New Roman"/>
          <w:sz w:val="32"/>
          <w:szCs w:val="32"/>
        </w:rPr>
        <w:t xml:space="preserve">  个人账户的转移和保留</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职工与本单位终止、解除劳动合同的，其个人账户转移或者保留。</w:t>
      </w:r>
    </w:p>
    <w:p>
      <w:pPr>
        <w:ind w:firstLine="640"/>
        <w:rPr>
          <w:rFonts w:ascii="仿宋_GB2312" w:hAnsi="仿宋_GB2312" w:eastAsia="宋体" w:cs="Times New Roman"/>
          <w:sz w:val="32"/>
          <w:szCs w:val="32"/>
          <w:u w:val="single"/>
        </w:rPr>
      </w:pPr>
      <w:r>
        <w:rPr>
          <w:rFonts w:ascii="仿宋_GB2312" w:hAnsi="仿宋_GB2312" w:eastAsia="宋体" w:cs="Times New Roman"/>
          <w:sz w:val="32"/>
          <w:szCs w:val="32"/>
        </w:rPr>
        <w:t>（一）职工与本单位终止、解除劳动合同，新就业单位已建立企业年金或者职业年金的，其个人账户权益应当转入新就业单位的企业年金计划或者职业年金计划管理；</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（二）职工与本单位终止、解除劳动合同，未就业、新就业单位没有建立企业年金或者职业年金的，其个人账户：</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方式1：转入本计划法人受托机构发起的集合计划设置的保留账户统一管理。保留账户的账户管理费从职工个人账户中扣除；</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方式2：作为保留账户在本计划中继续管理。保留账户的账户管理费</w:t>
      </w:r>
      <w:r>
        <w:rPr>
          <w:rFonts w:ascii="仿宋_GB2312" w:hAnsi="仿宋_GB2312" w:eastAsia="宋体" w:cs="Times New Roman"/>
          <w:sz w:val="32"/>
          <w:szCs w:val="32"/>
          <w:u w:val="single"/>
        </w:rPr>
        <w:t>（□由本单位负担、□从职工个人账户中扣除）</w:t>
      </w:r>
      <w:r>
        <w:rPr>
          <w:rFonts w:ascii="仿宋_GB2312" w:hAnsi="仿宋_GB2312" w:eastAsia="宋体" w:cs="Times New Roman"/>
          <w:sz w:val="32"/>
          <w:szCs w:val="32"/>
        </w:rPr>
        <w:t>；</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方式3：（理事会受托管理的企业年金计划）转入由本单位与职工协商选定的法人受托机构发起的集合计划设置的保留账户统一管理。保留账户的账户管理费从职工个人账户中扣除；</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方式4：</w:t>
      </w:r>
      <w:r>
        <w:rPr>
          <w:rFonts w:ascii="仿宋_GB2312" w:hAnsi="仿宋_GB2312" w:eastAsia="宋体" w:cs="Times New Roman"/>
          <w:sz w:val="32"/>
          <w:szCs w:val="32"/>
          <w:u w:val="single"/>
        </w:rPr>
        <w:t>（其他方式）</w:t>
      </w:r>
      <w:r>
        <w:rPr>
          <w:rFonts w:ascii="仿宋_GB2312" w:hAnsi="仿宋_GB2312" w:eastAsia="宋体" w:cs="Times New Roman"/>
          <w:sz w:val="32"/>
          <w:szCs w:val="32"/>
        </w:rPr>
        <w:t>。</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（三）在集团公司内部调动新单位未实行企业年金制度的，其个人账户作为保留账户由原单位继续管理。保留账户的账户管理费</w:t>
      </w:r>
      <w:r>
        <w:rPr>
          <w:rFonts w:ascii="仿宋_GB2312" w:hAnsi="仿宋_GB2312" w:eastAsia="宋体" w:cs="Times New Roman"/>
          <w:sz w:val="32"/>
          <w:szCs w:val="32"/>
          <w:u w:val="single"/>
        </w:rPr>
        <w:t>（□由原单位负担、□从职工个人账户中扣除）。</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第二十条</w:t>
      </w:r>
      <w:r>
        <w:rPr>
          <w:rFonts w:ascii="仿宋_GB2312" w:hAnsi="仿宋_GB2312" w:eastAsia="宋体" w:cs="Times New Roman"/>
          <w:sz w:val="32"/>
          <w:szCs w:val="32"/>
        </w:rPr>
        <w:t xml:space="preserve">  满足下列条件之一时，个人账户注销：</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（一）职工领取完其个人账户资金；</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（二）职工身故，其个人账户余额由指定受益人或者法定继承人全部领取完毕；</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（三）个人账户转移至新单位的企业年金计划或者职业年金计划。</w:t>
      </w:r>
    </w:p>
    <w:p>
      <w:pPr>
        <w:keepNext/>
        <w:keepLines/>
        <w:spacing w:before="180" w:after="180" w:line="360" w:lineRule="auto"/>
        <w:jc w:val="center"/>
        <w:outlineLvl w:val="1"/>
        <w:rPr>
          <w:rFonts w:ascii="Arial" w:hAnsi="Arial" w:eastAsia="黑体" w:cs="Times New Roman"/>
          <w:sz w:val="32"/>
          <w:szCs w:val="32"/>
        </w:rPr>
      </w:pPr>
      <w:bookmarkStart w:id="35" w:name="_Toc238376851"/>
      <w:bookmarkEnd w:id="35"/>
      <w:bookmarkStart w:id="36" w:name="_Toc56692316"/>
      <w:bookmarkEnd w:id="36"/>
      <w:bookmarkStart w:id="37" w:name="_Toc318811836"/>
      <w:bookmarkEnd w:id="37"/>
      <w:bookmarkStart w:id="38" w:name="_Toc500946512"/>
      <w:bookmarkEnd w:id="38"/>
      <w:bookmarkStart w:id="39" w:name="_Toc28644"/>
      <w:bookmarkEnd w:id="39"/>
      <w:bookmarkStart w:id="40" w:name="_Toc243825269"/>
      <w:r>
        <w:rPr>
          <w:rFonts w:hint="eastAsia" w:ascii="黑体" w:hAnsi="黑体" w:eastAsia="黑体" w:cs="Times New Roman"/>
          <w:sz w:val="32"/>
          <w:szCs w:val="32"/>
        </w:rPr>
        <w:t>第五章</w:t>
      </w:r>
      <w:bookmarkEnd w:id="40"/>
      <w:r>
        <w:rPr>
          <w:rFonts w:ascii="Arial" w:hAnsi="Arial" w:eastAsia="黑体" w:cs="Times New Roman"/>
          <w:sz w:val="32"/>
          <w:szCs w:val="32"/>
        </w:rPr>
        <w:t xml:space="preserve">  </w:t>
      </w:r>
      <w:r>
        <w:rPr>
          <w:rFonts w:hint="eastAsia" w:ascii="黑体" w:hAnsi="黑体" w:eastAsia="黑体" w:cs="Times New Roman"/>
          <w:sz w:val="32"/>
          <w:szCs w:val="32"/>
        </w:rPr>
        <w:t>权益归属</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第二十一条</w:t>
      </w:r>
      <w:r>
        <w:rPr>
          <w:rFonts w:ascii="仿宋_GB2312" w:hAnsi="仿宋_GB2312" w:eastAsia="宋体" w:cs="Times New Roman"/>
          <w:sz w:val="32"/>
          <w:szCs w:val="32"/>
        </w:rPr>
        <w:t xml:space="preserve">  职工企业年金个人账户中个人缴费及其投资收益自始归属职工个人。</w:t>
      </w:r>
    </w:p>
    <w:p>
      <w:pPr>
        <w:ind w:firstLine="630" w:firstLineChars="196"/>
        <w:rPr>
          <w:rFonts w:ascii="仿宋_GB2312" w:hAnsi="仿宋_GB2312" w:eastAsia="宋体" w:cs="Times New Roman"/>
          <w:sz w:val="32"/>
          <w:szCs w:val="32"/>
        </w:rPr>
      </w:pPr>
      <w:r>
        <w:rPr>
          <w:rFonts w:ascii="仿宋_GB2312" w:hAnsi="仿宋_GB2312" w:eastAsia="宋体" w:cs="Times New Roman"/>
          <w:b/>
          <w:bCs/>
          <w:sz w:val="32"/>
          <w:szCs w:val="32"/>
        </w:rPr>
        <w:t>第二十二条</w:t>
      </w:r>
      <w:r>
        <w:rPr>
          <w:rFonts w:ascii="仿宋_GB2312" w:hAnsi="仿宋_GB2312" w:eastAsia="宋体" w:cs="Times New Roman"/>
          <w:sz w:val="32"/>
          <w:szCs w:val="32"/>
        </w:rPr>
        <w:t xml:space="preserve">  职工企业年金个人账户中单位缴费及其投资收益，按以下规则归属于职工个人。未归属于职工个人的部分，记入企业账户。</w:t>
      </w:r>
    </w:p>
    <w:tbl>
      <w:tblPr>
        <w:tblStyle w:val="4"/>
        <w:tblW w:w="8660" w:type="dxa"/>
        <w:tblInd w:w="135" w:type="dxa"/>
        <w:tblLayout w:type="fixed"/>
        <w:tblCellMar>
          <w:top w:w="0" w:type="dxa"/>
          <w:left w:w="108" w:type="dxa"/>
          <w:bottom w:w="0" w:type="dxa"/>
          <w:right w:w="108" w:type="dxa"/>
        </w:tblCellMar>
      </w:tblPr>
      <w:tblGrid>
        <w:gridCol w:w="3420"/>
        <w:gridCol w:w="3456"/>
        <w:gridCol w:w="1784"/>
      </w:tblGrid>
      <w:tr>
        <w:tblPrEx>
          <w:tblCellMar>
            <w:top w:w="0" w:type="dxa"/>
            <w:left w:w="108" w:type="dxa"/>
            <w:bottom w:w="0" w:type="dxa"/>
            <w:right w:w="108" w:type="dxa"/>
          </w:tblCellMar>
        </w:tblPrEx>
        <w:trPr>
          <w:trHeight w:val="489" w:hRule="atLeast"/>
        </w:trPr>
        <w:tc>
          <w:tcPr>
            <w:tcW w:w="34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权益归属核算时点</w:t>
            </w: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N</w:t>
            </w:r>
          </w:p>
        </w:tc>
        <w:tc>
          <w:tcPr>
            <w:tcW w:w="17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归属比例</w:t>
            </w:r>
          </w:p>
        </w:tc>
      </w:tr>
      <w:tr>
        <w:tblPrEx>
          <w:tblCellMar>
            <w:top w:w="0" w:type="dxa"/>
            <w:left w:w="108" w:type="dxa"/>
            <w:bottom w:w="0" w:type="dxa"/>
            <w:right w:w="108" w:type="dxa"/>
          </w:tblCellMar>
        </w:tblPrEx>
        <w:trPr>
          <w:trHeight w:val="428" w:hRule="atLeast"/>
        </w:trPr>
        <w:tc>
          <w:tcPr>
            <w:tcW w:w="3420" w:type="dxa"/>
            <w:vMerge w:val="restart"/>
            <w:tcBorders>
              <w:top w:val="nil"/>
              <w:left w:val="single" w:color="auto" w:sz="4" w:space="0"/>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职工与本单位解除</w:t>
            </w:r>
          </w:p>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劳动合同</w:t>
            </w: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 xml:space="preserve">N&lt; </w:t>
            </w:r>
            <w:r>
              <w:rPr>
                <w:rFonts w:ascii="仿宋_GB2312" w:hAnsi="宋体" w:eastAsia="宋体" w:cs="宋体"/>
                <w:sz w:val="28"/>
                <w:szCs w:val="28"/>
                <w:u w:val="single"/>
              </w:rPr>
              <w:t xml:space="preserve">  </w:t>
            </w:r>
            <w:r>
              <w:rPr>
                <w:rFonts w:ascii="仿宋_GB2312" w:hAnsi="宋体" w:eastAsia="宋体" w:cs="宋体"/>
                <w:sz w:val="28"/>
                <w:szCs w:val="28"/>
              </w:rPr>
              <w:t>年</w:t>
            </w:r>
          </w:p>
        </w:tc>
        <w:tc>
          <w:tcPr>
            <w:tcW w:w="17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r>
      <w:tr>
        <w:tblPrEx>
          <w:tblCellMar>
            <w:top w:w="0" w:type="dxa"/>
            <w:left w:w="108" w:type="dxa"/>
            <w:bottom w:w="0" w:type="dxa"/>
            <w:right w:w="108" w:type="dxa"/>
          </w:tblCellMar>
        </w:tblPrEx>
        <w:trPr>
          <w:trHeight w:val="428" w:hRule="atLeast"/>
        </w:trPr>
        <w:tc>
          <w:tcPr>
            <w:tcW w:w="866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宋体" w:cs="宋体"/>
                <w:sz w:val="28"/>
                <w:szCs w:val="28"/>
              </w:rPr>
            </w:pP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u w:val="single"/>
              </w:rPr>
              <w:t xml:space="preserve">  </w:t>
            </w:r>
            <w:r>
              <w:rPr>
                <w:rFonts w:ascii="仿宋_GB2312" w:hAnsi="宋体" w:eastAsia="宋体" w:cs="宋体"/>
                <w:sz w:val="28"/>
                <w:szCs w:val="28"/>
              </w:rPr>
              <w:t>年≤N&lt;</w:t>
            </w:r>
            <w:r>
              <w:rPr>
                <w:rFonts w:ascii="仿宋_GB2312" w:hAnsi="宋体" w:eastAsia="宋体" w:cs="宋体"/>
                <w:sz w:val="28"/>
                <w:szCs w:val="28"/>
                <w:u w:val="single"/>
              </w:rPr>
              <w:t xml:space="preserve">  </w:t>
            </w:r>
            <w:r>
              <w:rPr>
                <w:rFonts w:ascii="仿宋_GB2312" w:hAnsi="宋体" w:eastAsia="宋体" w:cs="宋体"/>
                <w:sz w:val="28"/>
                <w:szCs w:val="28"/>
              </w:rPr>
              <w:t>年</w:t>
            </w:r>
          </w:p>
        </w:tc>
        <w:tc>
          <w:tcPr>
            <w:tcW w:w="17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r>
      <w:tr>
        <w:tblPrEx>
          <w:tblCellMar>
            <w:top w:w="0" w:type="dxa"/>
            <w:left w:w="108" w:type="dxa"/>
            <w:bottom w:w="0" w:type="dxa"/>
            <w:right w:w="108" w:type="dxa"/>
          </w:tblCellMar>
        </w:tblPrEx>
        <w:trPr>
          <w:trHeight w:val="428" w:hRule="atLeast"/>
        </w:trPr>
        <w:tc>
          <w:tcPr>
            <w:tcW w:w="866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宋体" w:cs="宋体"/>
                <w:sz w:val="28"/>
                <w:szCs w:val="28"/>
              </w:rPr>
            </w:pP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c>
          <w:tcPr>
            <w:tcW w:w="17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r>
      <w:tr>
        <w:tblPrEx>
          <w:tblCellMar>
            <w:top w:w="0" w:type="dxa"/>
            <w:left w:w="108" w:type="dxa"/>
            <w:bottom w:w="0" w:type="dxa"/>
            <w:right w:w="108" w:type="dxa"/>
          </w:tblCellMar>
        </w:tblPrEx>
        <w:trPr>
          <w:trHeight w:val="428" w:hRule="atLeast"/>
        </w:trPr>
        <w:tc>
          <w:tcPr>
            <w:tcW w:w="8660"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宋体" w:cs="宋体"/>
                <w:sz w:val="28"/>
                <w:szCs w:val="28"/>
              </w:rPr>
            </w:pP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N≥</w:t>
            </w:r>
            <w:r>
              <w:rPr>
                <w:rFonts w:ascii="仿宋_GB2312" w:hAnsi="宋体" w:eastAsia="宋体" w:cs="宋体"/>
                <w:sz w:val="28"/>
                <w:szCs w:val="28"/>
                <w:u w:val="single"/>
              </w:rPr>
              <w:t xml:space="preserve">  </w:t>
            </w:r>
            <w:r>
              <w:rPr>
                <w:rFonts w:ascii="仿宋_GB2312" w:hAnsi="宋体" w:eastAsia="宋体" w:cs="宋体"/>
                <w:sz w:val="28"/>
                <w:szCs w:val="28"/>
              </w:rPr>
              <w:t>年</w:t>
            </w:r>
          </w:p>
        </w:tc>
        <w:tc>
          <w:tcPr>
            <w:tcW w:w="1784"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r>
      <w:tr>
        <w:tblPrEx>
          <w:tblCellMar>
            <w:top w:w="0" w:type="dxa"/>
            <w:left w:w="108" w:type="dxa"/>
            <w:bottom w:w="0" w:type="dxa"/>
            <w:right w:w="108" w:type="dxa"/>
          </w:tblCellMar>
        </w:tblPrEx>
        <w:trPr>
          <w:trHeight w:val="527" w:hRule="atLeast"/>
        </w:trPr>
        <w:tc>
          <w:tcPr>
            <w:tcW w:w="68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left"/>
              <w:rPr>
                <w:rFonts w:ascii="仿宋_GB2312" w:hAnsi="宋体" w:eastAsia="宋体" w:cs="宋体"/>
                <w:sz w:val="28"/>
                <w:szCs w:val="28"/>
              </w:rPr>
            </w:pPr>
            <w:r>
              <w:rPr>
                <w:rFonts w:ascii="仿宋_GB2312" w:hAnsi="宋体" w:eastAsia="宋体" w:cs="宋体"/>
                <w:sz w:val="28"/>
                <w:szCs w:val="28"/>
              </w:rPr>
              <w:t>企业年金方案终止</w:t>
            </w:r>
          </w:p>
        </w:tc>
        <w:tc>
          <w:tcPr>
            <w:tcW w:w="1784" w:type="dxa"/>
            <w:vMerge w:val="restart"/>
            <w:tcBorders>
              <w:top w:val="nil"/>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100%</w:t>
            </w:r>
          </w:p>
        </w:tc>
      </w:tr>
      <w:tr>
        <w:tblPrEx>
          <w:tblCellMar>
            <w:top w:w="0" w:type="dxa"/>
            <w:left w:w="108" w:type="dxa"/>
            <w:bottom w:w="0" w:type="dxa"/>
            <w:right w:w="108" w:type="dxa"/>
          </w:tblCellMar>
        </w:tblPrEx>
        <w:trPr>
          <w:trHeight w:val="527" w:hRule="atLeast"/>
        </w:trPr>
        <w:tc>
          <w:tcPr>
            <w:tcW w:w="68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left"/>
              <w:rPr>
                <w:rFonts w:ascii="仿宋_GB2312" w:hAnsi="宋体" w:eastAsia="宋体" w:cs="宋体"/>
                <w:sz w:val="28"/>
                <w:szCs w:val="28"/>
              </w:rPr>
            </w:pPr>
            <w:r>
              <w:rPr>
                <w:rFonts w:ascii="仿宋_GB2312" w:hAnsi="宋体" w:eastAsia="宋体" w:cs="宋体"/>
                <w:sz w:val="28"/>
                <w:szCs w:val="28"/>
              </w:rPr>
              <w:t>达到法定退休年龄、完全丧失劳动能力或者死亡</w:t>
            </w:r>
          </w:p>
        </w:tc>
        <w:tc>
          <w:tcPr>
            <w:tcW w:w="1784" w:type="dxa"/>
            <w:vMerge w:val="continue"/>
            <w:tcBorders>
              <w:top w:val="nil"/>
              <w:left w:val="nil"/>
              <w:bottom w:val="single" w:color="auto" w:sz="4" w:space="0"/>
              <w:right w:val="single" w:color="auto" w:sz="4" w:space="0"/>
            </w:tcBorders>
            <w:vAlign w:val="center"/>
          </w:tcPr>
          <w:p>
            <w:pPr>
              <w:widowControl/>
              <w:jc w:val="left"/>
              <w:rPr>
                <w:rFonts w:ascii="仿宋_GB2312" w:hAnsi="宋体" w:eastAsia="宋体" w:cs="宋体"/>
                <w:sz w:val="28"/>
                <w:szCs w:val="28"/>
              </w:rPr>
            </w:pPr>
          </w:p>
        </w:tc>
      </w:tr>
      <w:tr>
        <w:tblPrEx>
          <w:tblCellMar>
            <w:top w:w="0" w:type="dxa"/>
            <w:left w:w="108" w:type="dxa"/>
            <w:bottom w:w="0" w:type="dxa"/>
            <w:right w:w="108" w:type="dxa"/>
          </w:tblCellMar>
        </w:tblPrEx>
        <w:trPr>
          <w:trHeight w:val="746" w:hRule="atLeast"/>
        </w:trPr>
        <w:tc>
          <w:tcPr>
            <w:tcW w:w="68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left"/>
              <w:rPr>
                <w:rFonts w:ascii="仿宋_GB2312" w:hAnsi="宋体" w:eastAsia="宋体" w:cs="宋体"/>
                <w:sz w:val="28"/>
                <w:szCs w:val="28"/>
              </w:rPr>
            </w:pPr>
            <w:r>
              <w:rPr>
                <w:rFonts w:ascii="仿宋_GB2312" w:hAnsi="宋体" w:eastAsia="宋体" w:cs="宋体"/>
                <w:sz w:val="28"/>
                <w:szCs w:val="28"/>
              </w:rPr>
              <w:t>非因职工过错企业解除劳动合同，或者因企业违反法律规定职工解除劳动合同</w:t>
            </w:r>
          </w:p>
        </w:tc>
        <w:tc>
          <w:tcPr>
            <w:tcW w:w="1784" w:type="dxa"/>
            <w:vMerge w:val="continue"/>
            <w:tcBorders>
              <w:top w:val="nil"/>
              <w:left w:val="nil"/>
              <w:bottom w:val="single" w:color="auto" w:sz="4" w:space="0"/>
              <w:right w:val="single" w:color="auto" w:sz="4" w:space="0"/>
            </w:tcBorders>
            <w:vAlign w:val="center"/>
          </w:tcPr>
          <w:p>
            <w:pPr>
              <w:widowControl/>
              <w:jc w:val="left"/>
              <w:rPr>
                <w:rFonts w:ascii="仿宋_GB2312" w:hAnsi="宋体" w:eastAsia="宋体" w:cs="宋体"/>
                <w:sz w:val="28"/>
                <w:szCs w:val="28"/>
              </w:rPr>
            </w:pPr>
          </w:p>
        </w:tc>
      </w:tr>
      <w:tr>
        <w:tblPrEx>
          <w:tblCellMar>
            <w:top w:w="0" w:type="dxa"/>
            <w:left w:w="108" w:type="dxa"/>
            <w:bottom w:w="0" w:type="dxa"/>
            <w:right w:w="108" w:type="dxa"/>
          </w:tblCellMar>
        </w:tblPrEx>
        <w:trPr>
          <w:trHeight w:val="527" w:hRule="atLeast"/>
        </w:trPr>
        <w:tc>
          <w:tcPr>
            <w:tcW w:w="68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left"/>
              <w:rPr>
                <w:rFonts w:ascii="仿宋_GB2312" w:hAnsi="宋体" w:eastAsia="宋体" w:cs="宋体"/>
                <w:sz w:val="28"/>
                <w:szCs w:val="28"/>
              </w:rPr>
            </w:pPr>
            <w:r>
              <w:rPr>
                <w:rFonts w:ascii="仿宋_GB2312" w:hAnsi="宋体" w:eastAsia="宋体" w:cs="宋体"/>
                <w:sz w:val="28"/>
                <w:szCs w:val="28"/>
              </w:rPr>
              <w:t>劳动合同期满，由于企业原因不再续签劳动合同</w:t>
            </w:r>
          </w:p>
        </w:tc>
        <w:tc>
          <w:tcPr>
            <w:tcW w:w="1784" w:type="dxa"/>
            <w:vMerge w:val="continue"/>
            <w:tcBorders>
              <w:top w:val="nil"/>
              <w:left w:val="nil"/>
              <w:bottom w:val="single" w:color="auto" w:sz="4" w:space="0"/>
              <w:right w:val="single" w:color="auto" w:sz="4" w:space="0"/>
            </w:tcBorders>
            <w:vAlign w:val="center"/>
          </w:tcPr>
          <w:p>
            <w:pPr>
              <w:widowControl/>
              <w:jc w:val="left"/>
              <w:rPr>
                <w:rFonts w:ascii="仿宋_GB2312" w:hAnsi="宋体" w:eastAsia="宋体" w:cs="宋体"/>
                <w:sz w:val="28"/>
                <w:szCs w:val="28"/>
              </w:rPr>
            </w:pPr>
          </w:p>
        </w:tc>
      </w:tr>
      <w:tr>
        <w:tblPrEx>
          <w:tblCellMar>
            <w:top w:w="0" w:type="dxa"/>
            <w:left w:w="108" w:type="dxa"/>
            <w:bottom w:w="0" w:type="dxa"/>
            <w:right w:w="108" w:type="dxa"/>
          </w:tblCellMar>
        </w:tblPrEx>
        <w:trPr>
          <w:trHeight w:val="397" w:hRule="atLeast"/>
        </w:trPr>
        <w:tc>
          <w:tcPr>
            <w:tcW w:w="34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（其他特殊情况）</w:t>
            </w:r>
          </w:p>
        </w:tc>
        <w:tc>
          <w:tcPr>
            <w:tcW w:w="3456" w:type="dxa"/>
            <w:tcBorders>
              <w:top w:val="single" w:color="auto" w:sz="4" w:space="0"/>
              <w:left w:val="nil"/>
              <w:bottom w:val="single" w:color="auto" w:sz="4" w:space="0"/>
              <w:right w:val="single" w:color="auto" w:sz="4" w:space="0"/>
            </w:tcBorders>
            <w:vAlign w:val="center"/>
          </w:tcPr>
          <w:p>
            <w:pPr>
              <w:adjustRightInd w:val="0"/>
              <w:snapToGrid w:val="0"/>
              <w:spacing w:line="300" w:lineRule="exact"/>
              <w:jc w:val="center"/>
              <w:rPr>
                <w:rFonts w:ascii="仿宋_GB2312" w:hAnsi="宋体" w:eastAsia="宋体" w:cs="宋体"/>
                <w:sz w:val="28"/>
                <w:szCs w:val="28"/>
              </w:rPr>
            </w:pPr>
            <w:r>
              <w:rPr>
                <w:rFonts w:ascii="仿宋_GB2312" w:hAnsi="宋体" w:eastAsia="宋体" w:cs="宋体"/>
                <w:sz w:val="28"/>
                <w:szCs w:val="28"/>
              </w:rPr>
              <w:t>——</w:t>
            </w:r>
          </w:p>
        </w:tc>
        <w:tc>
          <w:tcPr>
            <w:tcW w:w="1784" w:type="dxa"/>
            <w:vMerge w:val="continue"/>
            <w:tcBorders>
              <w:top w:val="nil"/>
              <w:left w:val="nil"/>
              <w:bottom w:val="single" w:color="auto" w:sz="4" w:space="0"/>
              <w:right w:val="single" w:color="auto" w:sz="4" w:space="0"/>
            </w:tcBorders>
            <w:vAlign w:val="center"/>
          </w:tcPr>
          <w:p>
            <w:pPr>
              <w:widowControl/>
              <w:jc w:val="left"/>
              <w:rPr>
                <w:rFonts w:ascii="仿宋_GB2312" w:hAnsi="宋体" w:eastAsia="宋体" w:cs="宋体"/>
                <w:sz w:val="28"/>
                <w:szCs w:val="28"/>
              </w:rPr>
            </w:pPr>
          </w:p>
        </w:tc>
      </w:tr>
      <w:tr>
        <w:tblPrEx>
          <w:tblCellMar>
            <w:top w:w="0" w:type="dxa"/>
            <w:left w:w="108" w:type="dxa"/>
            <w:bottom w:w="0" w:type="dxa"/>
            <w:right w:w="108" w:type="dxa"/>
          </w:tblCellMar>
        </w:tblPrEx>
        <w:trPr>
          <w:trHeight w:val="1126" w:hRule="atLeast"/>
        </w:trPr>
        <w:tc>
          <w:tcPr>
            <w:tcW w:w="866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rPr>
                <w:rFonts w:ascii="仿宋_GB2312" w:hAnsi="宋体" w:eastAsia="宋体" w:cs="宋体"/>
                <w:sz w:val="28"/>
                <w:szCs w:val="28"/>
              </w:rPr>
            </w:pPr>
            <w:r>
              <w:rPr>
                <w:rFonts w:ascii="仿宋_GB2312" w:hAnsi="宋体" w:eastAsia="宋体" w:cs="宋体"/>
                <w:sz w:val="28"/>
                <w:szCs w:val="28"/>
              </w:rPr>
              <w:t>备注：</w:t>
            </w:r>
          </w:p>
          <w:p>
            <w:pPr>
              <w:adjustRightInd w:val="0"/>
              <w:snapToGrid w:val="0"/>
              <w:spacing w:line="300" w:lineRule="exact"/>
              <w:rPr>
                <w:rFonts w:ascii="仿宋_GB2312" w:hAnsi="宋体" w:eastAsia="宋体" w:cs="宋体"/>
                <w:sz w:val="28"/>
                <w:szCs w:val="28"/>
              </w:rPr>
            </w:pPr>
            <w:r>
              <w:rPr>
                <w:rFonts w:ascii="仿宋_GB2312" w:hAnsi="宋体" w:eastAsia="宋体" w:cs="宋体"/>
                <w:sz w:val="28"/>
                <w:szCs w:val="28"/>
              </w:rPr>
              <w:t>N是指在本单位的工作年限，不得超过8（含）；</w:t>
            </w:r>
          </w:p>
          <w:p>
            <w:pPr>
              <w:adjustRightInd w:val="0"/>
              <w:snapToGrid w:val="0"/>
              <w:spacing w:line="300" w:lineRule="exact"/>
              <w:rPr>
                <w:rFonts w:ascii="仿宋_GB2312" w:hAnsi="宋体" w:eastAsia="宋体" w:cs="宋体"/>
                <w:sz w:val="28"/>
                <w:szCs w:val="28"/>
              </w:rPr>
            </w:pPr>
            <w:r>
              <w:rPr>
                <w:rFonts w:ascii="仿宋_GB2312" w:hAnsi="宋体" w:eastAsia="宋体" w:cs="宋体"/>
                <w:sz w:val="28"/>
                <w:szCs w:val="28"/>
              </w:rPr>
              <w:t>（其他需要说明的事项）。</w:t>
            </w:r>
          </w:p>
        </w:tc>
      </w:tr>
    </w:tbl>
    <w:p>
      <w:pPr>
        <w:keepNext/>
        <w:keepLines/>
        <w:spacing w:before="180" w:after="180" w:line="360" w:lineRule="auto"/>
        <w:jc w:val="center"/>
        <w:outlineLvl w:val="1"/>
        <w:rPr>
          <w:rFonts w:ascii="Arial" w:hAnsi="Arial" w:eastAsia="黑体" w:cs="Times New Roman"/>
          <w:sz w:val="32"/>
          <w:szCs w:val="32"/>
        </w:rPr>
      </w:pPr>
      <w:bookmarkStart w:id="41" w:name="_Toc318811835"/>
      <w:bookmarkEnd w:id="41"/>
      <w:bookmarkStart w:id="42" w:name="_Toc3153"/>
      <w:bookmarkEnd w:id="42"/>
      <w:bookmarkStart w:id="43" w:name="_Toc238376852"/>
      <w:bookmarkEnd w:id="43"/>
      <w:bookmarkStart w:id="44" w:name="_Toc318811837"/>
      <w:bookmarkEnd w:id="44"/>
      <w:bookmarkStart w:id="45" w:name="_Toc243825268"/>
      <w:bookmarkEnd w:id="45"/>
      <w:bookmarkStart w:id="46" w:name="_Toc56692317"/>
      <w:bookmarkEnd w:id="46"/>
      <w:bookmarkStart w:id="47" w:name="_Toc500946513"/>
      <w:bookmarkEnd w:id="47"/>
      <w:bookmarkStart w:id="48" w:name="_Toc238376850"/>
      <w:bookmarkEnd w:id="48"/>
      <w:bookmarkStart w:id="49" w:name="_Toc243825270"/>
      <w:r>
        <w:rPr>
          <w:rFonts w:hint="eastAsia" w:ascii="Arial" w:hAnsi="Arial" w:eastAsia="黑体" w:cs="Times New Roman"/>
          <w:sz w:val="32"/>
          <w:szCs w:val="32"/>
        </w:rPr>
        <w:br w:type="page"/>
      </w:r>
      <w:bookmarkEnd w:id="49"/>
      <w:r>
        <w:rPr>
          <w:rFonts w:hint="eastAsia" w:ascii="黑体" w:hAnsi="黑体" w:eastAsia="黑体" w:cs="Times New Roman"/>
          <w:sz w:val="32"/>
          <w:szCs w:val="32"/>
        </w:rPr>
        <w:t>第六章</w:t>
      </w:r>
      <w:r>
        <w:rPr>
          <w:rFonts w:ascii="Arial" w:hAnsi="Arial" w:eastAsia="黑体" w:cs="Times New Roman"/>
          <w:sz w:val="32"/>
          <w:szCs w:val="32"/>
        </w:rPr>
        <w:t xml:space="preserve">  </w:t>
      </w:r>
      <w:r>
        <w:rPr>
          <w:rFonts w:hint="eastAsia" w:ascii="黑体" w:hAnsi="黑体" w:eastAsia="黑体" w:cs="Times New Roman"/>
          <w:sz w:val="32"/>
          <w:szCs w:val="32"/>
        </w:rPr>
        <w:t>基金管理</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第二十三条</w:t>
      </w:r>
      <w:r>
        <w:rPr>
          <w:rFonts w:ascii="仿宋_GB2312" w:hAnsi="仿宋_GB2312" w:eastAsia="宋体" w:cs="Times New Roman"/>
          <w:sz w:val="32"/>
          <w:szCs w:val="32"/>
        </w:rPr>
        <w:t xml:space="preserve">  企业年金基金由单位缴费、职工个人缴费和投资收益组成。</w:t>
      </w:r>
    </w:p>
    <w:p>
      <w:pPr>
        <w:spacing w:line="360" w:lineRule="auto"/>
        <w:ind w:firstLine="641"/>
        <w:rPr>
          <w:rFonts w:ascii="仿宋_GB2312" w:hAnsi="仿宋_GB2312" w:eastAsia="宋体" w:cs="Times New Roman"/>
          <w:sz w:val="32"/>
          <w:szCs w:val="32"/>
        </w:rPr>
      </w:pPr>
      <w:r>
        <w:rPr>
          <w:rFonts w:ascii="仿宋_GB2312" w:hAnsi="仿宋_GB2312" w:eastAsia="宋体" w:cs="Times New Roman"/>
          <w:b/>
          <w:bCs/>
          <w:sz w:val="32"/>
          <w:szCs w:val="32"/>
        </w:rPr>
        <w:t>第二十四条</w:t>
      </w:r>
      <w:r>
        <w:rPr>
          <w:rFonts w:ascii="仿宋_GB2312" w:hAnsi="仿宋_GB2312" w:eastAsia="宋体" w:cs="Times New Roman"/>
          <w:sz w:val="32"/>
          <w:szCs w:val="32"/>
        </w:rPr>
        <w:t xml:space="preserve">  本计划采取</w:t>
      </w:r>
      <w:r>
        <w:rPr>
          <w:rFonts w:ascii="仿宋_GB2312" w:hAnsi="仿宋_GB2312" w:eastAsia="宋体" w:cs="Times New Roman"/>
          <w:sz w:val="32"/>
          <w:szCs w:val="32"/>
          <w:u w:val="single"/>
        </w:rPr>
        <w:t>（□理事会受托、□法人受托）</w:t>
      </w:r>
      <w:r>
        <w:rPr>
          <w:rFonts w:ascii="仿宋_GB2312" w:hAnsi="仿宋_GB2312" w:eastAsia="宋体" w:cs="Times New Roman"/>
          <w:sz w:val="32"/>
          <w:szCs w:val="32"/>
        </w:rPr>
        <w:t>管理模式。本方案所归集的企业年金基金由</w:t>
      </w:r>
      <w:r>
        <w:rPr>
          <w:rFonts w:ascii="仿宋_GB2312" w:hAnsi="仿宋_GB2312" w:eastAsia="宋体" w:cs="Times New Roman"/>
          <w:sz w:val="32"/>
          <w:szCs w:val="32"/>
          <w:u w:val="single"/>
        </w:rPr>
        <w:t>××单位</w:t>
      </w:r>
      <w:r>
        <w:rPr>
          <w:rFonts w:ascii="仿宋_GB2312" w:hAnsi="仿宋_GB2312" w:eastAsia="宋体" w:cs="Times New Roman"/>
          <w:sz w:val="32"/>
          <w:szCs w:val="32"/>
        </w:rPr>
        <w:t>委托受托人进行受托管理并签署企业年金基金受托管理合同。由企业年金基金受托人委托具备企业年金管理资格的托管人、账户管理人、投资管理人提供统一的相关服务。</w:t>
      </w:r>
    </w:p>
    <w:p>
      <w:pPr>
        <w:widowControl/>
        <w:snapToGrid w:val="0"/>
        <w:spacing w:line="360" w:lineRule="auto"/>
        <w:ind w:firstLine="641"/>
        <w:rPr>
          <w:rFonts w:ascii="仿宋_GB2312" w:hAnsi="仿宋_GB2312" w:eastAsia="宋体" w:cs="宋体"/>
          <w:sz w:val="32"/>
          <w:szCs w:val="32"/>
        </w:rPr>
      </w:pPr>
      <w:r>
        <w:rPr>
          <w:rFonts w:ascii="仿宋_GB2312" w:hAnsi="仿宋_GB2312" w:eastAsia="宋体" w:cs="宋体"/>
          <w:b/>
          <w:bCs/>
          <w:sz w:val="32"/>
          <w:szCs w:val="32"/>
        </w:rPr>
        <w:t>第二十五条</w:t>
      </w:r>
      <w:r>
        <w:rPr>
          <w:rFonts w:ascii="仿宋_GB2312" w:hAnsi="仿宋_GB2312" w:eastAsia="宋体" w:cs="宋体"/>
          <w:kern w:val="0"/>
          <w:sz w:val="32"/>
          <w:szCs w:val="32"/>
        </w:rPr>
        <w:t xml:space="preserve">  </w:t>
      </w:r>
      <w:r>
        <w:rPr>
          <w:rFonts w:ascii="仿宋_GB2312" w:hAnsi="仿宋_GB2312" w:eastAsia="宋体" w:cs="宋体"/>
          <w:sz w:val="32"/>
          <w:szCs w:val="32"/>
        </w:rPr>
        <w:t>企业年金基金的投资收益，根据企业年金基金单位净值，按周或者按日足额分别记入个人账户和企业账户。</w:t>
      </w:r>
    </w:p>
    <w:p>
      <w:pPr>
        <w:spacing w:line="360" w:lineRule="auto"/>
        <w:ind w:firstLine="641"/>
        <w:rPr>
          <w:rFonts w:ascii="仿宋_GB2312" w:hAnsi="仿宋_GB2312" w:eastAsia="宋体" w:cs="Times New Roman"/>
          <w:sz w:val="32"/>
          <w:szCs w:val="32"/>
        </w:rPr>
      </w:pPr>
      <w:r>
        <w:rPr>
          <w:rFonts w:ascii="仿宋_GB2312" w:hAnsi="仿宋_GB2312" w:eastAsia="宋体" w:cs="Times New Roman"/>
          <w:b/>
          <w:bCs/>
          <w:sz w:val="32"/>
          <w:szCs w:val="32"/>
        </w:rPr>
        <w:t>第二十六条</w:t>
      </w:r>
      <w:r>
        <w:rPr>
          <w:rFonts w:ascii="仿宋_GB2312" w:hAnsi="仿宋_GB2312" w:eastAsia="宋体" w:cs="Times New Roman"/>
          <w:sz w:val="32"/>
          <w:szCs w:val="32"/>
        </w:rPr>
        <w:t xml:space="preserve">  企业年金基金管理运营的所需费用，按照国家有关法律法规及企业年金基金管理合同中的相关条款确定。其中正常账户的账户管理费由本单位缴纳，保留账户管理费按本方案第十九条规定执行，退休职工个人账户的账户管理费由</w:t>
      </w:r>
      <w:r>
        <w:rPr>
          <w:rFonts w:ascii="仿宋_GB2312" w:hAnsi="仿宋_GB2312" w:eastAsia="宋体" w:cs="Times New Roman"/>
          <w:sz w:val="32"/>
          <w:szCs w:val="32"/>
          <w:u w:val="single"/>
        </w:rPr>
        <w:t>（□个人、□单位）</w:t>
      </w:r>
      <w:r>
        <w:rPr>
          <w:rFonts w:ascii="仿宋_GB2312" w:hAnsi="仿宋_GB2312" w:eastAsia="宋体" w:cs="Times New Roman"/>
          <w:sz w:val="32"/>
          <w:szCs w:val="32"/>
        </w:rPr>
        <w:t>负担，其他费用由本单位和个人共同承担，从企业年金基金中扣除。</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第二十七条</w:t>
      </w:r>
      <w:r>
        <w:rPr>
          <w:rFonts w:ascii="仿宋_GB2312" w:hAnsi="仿宋_GB2312" w:eastAsia="宋体" w:cs="Times New Roman"/>
          <w:sz w:val="32"/>
          <w:szCs w:val="32"/>
        </w:rPr>
        <w:t xml:space="preserve">  企业年金基金实行专户管理，与委托人、受托人、账户管理人、投资管理人和托管人的自有资产或者其他资产分开管理，分别记账，不得挪作它用。</w:t>
      </w:r>
    </w:p>
    <w:p>
      <w:pPr>
        <w:keepNext/>
        <w:keepLines/>
        <w:spacing w:before="180" w:after="180" w:line="360" w:lineRule="auto"/>
        <w:jc w:val="center"/>
        <w:outlineLvl w:val="1"/>
        <w:rPr>
          <w:rFonts w:ascii="Arial" w:hAnsi="Arial" w:eastAsia="黑体" w:cs="Times New Roman"/>
          <w:sz w:val="32"/>
          <w:szCs w:val="32"/>
        </w:rPr>
      </w:pPr>
      <w:bookmarkStart w:id="50" w:name="_Toc500946514"/>
      <w:bookmarkEnd w:id="50"/>
      <w:bookmarkStart w:id="51" w:name="_Toc56692318"/>
      <w:bookmarkEnd w:id="51"/>
      <w:bookmarkStart w:id="52" w:name="_Toc11263"/>
      <w:r>
        <w:rPr>
          <w:rFonts w:hint="eastAsia" w:ascii="黑体" w:hAnsi="黑体" w:eastAsia="黑体" w:cs="Times New Roman"/>
          <w:sz w:val="32"/>
          <w:szCs w:val="32"/>
        </w:rPr>
        <w:t>第七章</w:t>
      </w:r>
      <w:bookmarkEnd w:id="52"/>
      <w:r>
        <w:rPr>
          <w:rFonts w:ascii="Arial" w:hAnsi="Arial" w:eastAsia="黑体" w:cs="Times New Roman"/>
          <w:sz w:val="32"/>
          <w:szCs w:val="32"/>
        </w:rPr>
        <w:t xml:space="preserve">  </w:t>
      </w:r>
      <w:r>
        <w:rPr>
          <w:rFonts w:hint="eastAsia" w:ascii="黑体" w:hAnsi="黑体" w:eastAsia="黑体" w:cs="Times New Roman"/>
          <w:sz w:val="32"/>
          <w:szCs w:val="32"/>
        </w:rPr>
        <w:t>待遇计发和支付方式</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第二十八条</w:t>
      </w:r>
      <w:r>
        <w:rPr>
          <w:rFonts w:ascii="仿宋_GB2312" w:hAnsi="仿宋_GB2312" w:eastAsia="宋体" w:cs="Times New Roman"/>
          <w:sz w:val="32"/>
          <w:szCs w:val="32"/>
        </w:rPr>
        <w:t xml:space="preserve">  本方案参加职工符合下列条件之一时，可以享受本方案规定的企业年金待遇：</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（一）达到国家规定的退休年龄；</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（二）经劳动能力鉴定委员会鉴定，因病（残）完全丧失劳动能力；</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（三）出国（境）定居；</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（四）退休前身故。</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第二十九条</w:t>
      </w:r>
      <w:r>
        <w:rPr>
          <w:rFonts w:ascii="仿宋_GB2312" w:hAnsi="仿宋_GB2312" w:eastAsia="宋体" w:cs="Times New Roman"/>
          <w:sz w:val="32"/>
          <w:szCs w:val="32"/>
        </w:rPr>
        <w:t xml:space="preserve">  企业年金的支付方式</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职工达到本方案第二十八条规定的企业年金待遇领取条件后，可根据个人账户余额、个人所得税税负等情况选择按月、分次或者一次性领取企业年金待遇，也可将本人企业年金个人账户资金全部或者部分购买商业养老保险产品，依据保险合同领取待遇并享受相应的继承权。</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第三十条</w:t>
      </w:r>
      <w:r>
        <w:rPr>
          <w:rFonts w:ascii="仿宋_GB2312" w:hAnsi="仿宋_GB2312" w:eastAsia="宋体" w:cs="Times New Roman"/>
          <w:sz w:val="32"/>
          <w:szCs w:val="32"/>
        </w:rPr>
        <w:t xml:space="preserve">  受益人的指定和修改</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职工自动加入企业年金方案时，应指定本人身故后企业年金个人账户已归属权益的受益人；没有指定的，默认法定继承人为受益人。若职工需要变更受益人的，可在加入后书面申请变更。</w:t>
      </w:r>
    </w:p>
    <w:p>
      <w:pPr>
        <w:keepNext/>
        <w:keepLines/>
        <w:spacing w:before="180" w:after="180" w:line="360" w:lineRule="auto"/>
        <w:jc w:val="center"/>
        <w:outlineLvl w:val="1"/>
        <w:rPr>
          <w:rFonts w:ascii="Arial" w:hAnsi="Arial" w:eastAsia="黑体" w:cs="Times New Roman"/>
          <w:sz w:val="32"/>
          <w:szCs w:val="32"/>
        </w:rPr>
      </w:pPr>
      <w:bookmarkStart w:id="53" w:name="_Toc243825272"/>
      <w:bookmarkEnd w:id="53"/>
      <w:bookmarkStart w:id="54" w:name="_Toc318811839"/>
      <w:bookmarkEnd w:id="54"/>
      <w:bookmarkStart w:id="55" w:name="_Toc16582"/>
      <w:bookmarkEnd w:id="55"/>
      <w:bookmarkStart w:id="56" w:name="_Toc238376854"/>
      <w:bookmarkEnd w:id="56"/>
      <w:bookmarkStart w:id="57" w:name="_Toc56692319"/>
      <w:bookmarkEnd w:id="57"/>
      <w:bookmarkStart w:id="58" w:name="_Toc500946515"/>
      <w:r>
        <w:rPr>
          <w:rFonts w:hint="eastAsia" w:ascii="黑体" w:hAnsi="黑体" w:eastAsia="黑体" w:cs="Times New Roman"/>
          <w:sz w:val="32"/>
          <w:szCs w:val="32"/>
        </w:rPr>
        <w:t>第八章</w:t>
      </w:r>
      <w:bookmarkEnd w:id="58"/>
      <w:r>
        <w:rPr>
          <w:rFonts w:ascii="Arial" w:hAnsi="Arial" w:eastAsia="黑体" w:cs="Times New Roman"/>
          <w:sz w:val="32"/>
          <w:szCs w:val="32"/>
        </w:rPr>
        <w:t xml:space="preserve">  </w:t>
      </w:r>
      <w:r>
        <w:rPr>
          <w:rFonts w:hint="eastAsia" w:ascii="黑体" w:hAnsi="黑体" w:eastAsia="黑体" w:cs="Times New Roman"/>
          <w:sz w:val="32"/>
          <w:szCs w:val="32"/>
        </w:rPr>
        <w:t>方案的变更和终止</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第三十一条</w:t>
      </w:r>
      <w:r>
        <w:rPr>
          <w:rFonts w:ascii="仿宋_GB2312" w:hAnsi="仿宋_GB2312" w:eastAsia="宋体" w:cs="Times New Roman"/>
          <w:sz w:val="32"/>
          <w:szCs w:val="32"/>
        </w:rPr>
        <w:t xml:space="preserve">  本单位根据国家政策变化，以及本单位经营和企业年金运行情况，经集体协商变更本方案。</w:t>
      </w:r>
    </w:p>
    <w:p>
      <w:pPr>
        <w:ind w:firstLine="630" w:firstLineChars="196"/>
        <w:rPr>
          <w:rFonts w:ascii="仿宋_GB2312" w:hAnsi="仿宋_GB2312" w:eastAsia="宋体" w:cs="Times New Roman"/>
          <w:sz w:val="32"/>
          <w:szCs w:val="32"/>
        </w:rPr>
      </w:pPr>
      <w:r>
        <w:rPr>
          <w:rFonts w:ascii="仿宋_GB2312" w:hAnsi="仿宋_GB2312" w:eastAsia="宋体" w:cs="Times New Roman"/>
          <w:b/>
          <w:bCs/>
          <w:sz w:val="32"/>
          <w:szCs w:val="32"/>
        </w:rPr>
        <w:t>第三十二条</w:t>
      </w:r>
      <w:r>
        <w:rPr>
          <w:rFonts w:ascii="仿宋_GB2312" w:hAnsi="仿宋_GB2312" w:eastAsia="宋体" w:cs="Times New Roman"/>
          <w:sz w:val="32"/>
          <w:szCs w:val="32"/>
        </w:rPr>
        <w:t xml:space="preserve">  变更本方案的程序</w:t>
      </w:r>
    </w:p>
    <w:p>
      <w:pPr>
        <w:ind w:firstLine="640" w:firstLineChars="200"/>
        <w:rPr>
          <w:rFonts w:ascii="仿宋_GB2312" w:hAnsi="仿宋_GB2312" w:eastAsia="宋体" w:cs="Times New Roman"/>
          <w:sz w:val="32"/>
          <w:szCs w:val="32"/>
        </w:rPr>
      </w:pPr>
      <w:r>
        <w:rPr>
          <w:rFonts w:ascii="仿宋_GB2312" w:hAnsi="仿宋_GB2312" w:eastAsia="宋体" w:cs="Times New Roman"/>
          <w:sz w:val="32"/>
          <w:szCs w:val="32"/>
        </w:rPr>
        <w:t>（一）企业和职工一方按照《集体合同规定》，经集体协商形成新的企业年金方案；</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（二）新的企业年金方案经民主程序讨论通过；</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（三）报送人力资源和社会保障部门备案；</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（四）通知方案参加职工及受托人。</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第三十三条</w:t>
      </w:r>
      <w:r>
        <w:rPr>
          <w:rFonts w:ascii="仿宋_GB2312" w:hAnsi="仿宋_GB2312" w:eastAsia="宋体" w:cs="Times New Roman"/>
          <w:sz w:val="32"/>
          <w:szCs w:val="32"/>
        </w:rPr>
        <w:t xml:space="preserve">  出现下列情况之一时，本方案终止：</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（一）本单位因依法解散、被依法撤销或者被依法宣告破产等原因，致使企业年金方案无法履行的；</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（二）因不可抗力等原因致使企业年金方案无法履行的；</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（三）其他：</w:t>
      </w:r>
      <w:r>
        <w:rPr>
          <w:rFonts w:ascii="仿宋_GB2312" w:hAnsi="仿宋_GB2312" w:eastAsia="宋体" w:cs="Times New Roman"/>
          <w:sz w:val="32"/>
          <w:szCs w:val="32"/>
          <w:u w:val="single"/>
        </w:rPr>
        <w:t xml:space="preserve">             </w:t>
      </w:r>
      <w:r>
        <w:rPr>
          <w:rFonts w:ascii="仿宋_GB2312" w:hAnsi="仿宋_GB2312" w:eastAsia="宋体" w:cs="Times New Roman"/>
          <w:sz w:val="32"/>
          <w:szCs w:val="32"/>
        </w:rPr>
        <w:t>。</w:t>
      </w:r>
    </w:p>
    <w:p>
      <w:pPr>
        <w:ind w:firstLine="643"/>
        <w:rPr>
          <w:rFonts w:ascii="仿宋_GB2312" w:hAnsi="仿宋_GB2312" w:eastAsia="宋体" w:cs="Times New Roman"/>
          <w:sz w:val="32"/>
          <w:szCs w:val="32"/>
          <w:highlight w:val="yellow"/>
        </w:rPr>
      </w:pPr>
      <w:r>
        <w:rPr>
          <w:rFonts w:ascii="仿宋_GB2312" w:hAnsi="仿宋_GB2312" w:eastAsia="宋体" w:cs="Times New Roman"/>
          <w:b/>
          <w:bCs/>
          <w:sz w:val="32"/>
          <w:szCs w:val="32"/>
        </w:rPr>
        <w:t>第三十四条</w:t>
      </w:r>
      <w:r>
        <w:rPr>
          <w:rFonts w:ascii="仿宋_GB2312" w:hAnsi="仿宋_GB2312" w:eastAsia="宋体" w:cs="Times New Roman"/>
          <w:sz w:val="32"/>
          <w:szCs w:val="32"/>
        </w:rPr>
        <w:t xml:space="preserve">  终止本方案的程序</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（一）经集体协商制定终止企业年金计划方案。方案内容应包括终止原因、企业账户资金和个人账户处理办法等；</w:t>
      </w:r>
    </w:p>
    <w:p>
      <w:pPr>
        <w:ind w:firstLine="640"/>
        <w:rPr>
          <w:rFonts w:ascii="仿宋_GB2312" w:hAnsi="仿宋_GB2312" w:eastAsia="宋体" w:cs="Times New Roman"/>
          <w:sz w:val="32"/>
          <w:szCs w:val="32"/>
        </w:rPr>
      </w:pPr>
      <w:r>
        <w:rPr>
          <w:rFonts w:ascii="仿宋_GB2312" w:hAnsi="仿宋_GB2312" w:eastAsia="宋体" w:cs="Times New Roman"/>
          <w:sz w:val="32"/>
          <w:szCs w:val="32"/>
        </w:rPr>
        <w:t>（二）终止方案经民主程序讨论通过；</w:t>
      </w:r>
    </w:p>
    <w:p>
      <w:pPr>
        <w:spacing w:line="360" w:lineRule="auto"/>
        <w:ind w:firstLine="641"/>
        <w:contextualSpacing/>
        <w:rPr>
          <w:rFonts w:ascii="仿宋_GB2312" w:hAnsi="仿宋_GB2312" w:eastAsia="宋体" w:cs="Times New Roman"/>
          <w:sz w:val="32"/>
          <w:szCs w:val="32"/>
        </w:rPr>
      </w:pPr>
      <w:r>
        <w:rPr>
          <w:rFonts w:ascii="仿宋_GB2312" w:hAnsi="仿宋_GB2312" w:eastAsia="宋体" w:cs="Times New Roman"/>
          <w:sz w:val="32"/>
          <w:szCs w:val="32"/>
        </w:rPr>
        <w:t>（三）报送人力资源和社会保障部门备案；</w:t>
      </w:r>
    </w:p>
    <w:p>
      <w:pPr>
        <w:spacing w:line="360" w:lineRule="auto"/>
        <w:ind w:firstLine="641"/>
        <w:contextualSpacing/>
        <w:rPr>
          <w:rFonts w:ascii="仿宋_GB2312" w:hAnsi="仿宋_GB2312" w:eastAsia="宋体" w:cs="Times New Roman"/>
          <w:sz w:val="32"/>
          <w:szCs w:val="32"/>
        </w:rPr>
      </w:pPr>
      <w:r>
        <w:rPr>
          <w:rFonts w:ascii="仿宋_GB2312" w:hAnsi="仿宋_GB2312" w:eastAsia="宋体" w:cs="Times New Roman"/>
          <w:sz w:val="32"/>
          <w:szCs w:val="32"/>
        </w:rPr>
        <w:t>（四）由受托人组织清算组对企业年金基金财产进行清算，对所有个人账户权益进行全部归属，并按照方案规定或者民主程序讨论通过的办法分配企业账户资金；</w:t>
      </w:r>
    </w:p>
    <w:p>
      <w:pPr>
        <w:widowControl/>
        <w:snapToGrid w:val="0"/>
        <w:spacing w:line="360" w:lineRule="auto"/>
        <w:ind w:firstLine="641"/>
        <w:contextualSpacing/>
        <w:rPr>
          <w:rFonts w:ascii="Times New Roman" w:hAnsi="Times New Roman" w:eastAsia="宋体" w:cs="Times New Roman"/>
          <w:kern w:val="0"/>
          <w:szCs w:val="21"/>
        </w:rPr>
      </w:pPr>
      <w:r>
        <w:rPr>
          <w:rFonts w:ascii="仿宋_GB2312" w:hAnsi="仿宋_GB2312" w:eastAsia="宋体" w:cs="宋体"/>
          <w:kern w:val="0"/>
          <w:sz w:val="32"/>
          <w:szCs w:val="32"/>
        </w:rPr>
        <w:t>（五）将</w:t>
      </w:r>
      <w:r>
        <w:rPr>
          <w:rFonts w:ascii="仿宋_GB2312" w:hAnsi="仿宋_GB2312" w:eastAsia="宋体" w:cs="Times New Roman"/>
          <w:kern w:val="0"/>
          <w:sz w:val="32"/>
          <w:szCs w:val="32"/>
        </w:rPr>
        <w:t>个人账户转移至协商确定的法人受托机构发起的集合计划设置的保留账户暂时管理；</w:t>
      </w:r>
    </w:p>
    <w:p>
      <w:pPr>
        <w:spacing w:line="360" w:lineRule="auto"/>
        <w:ind w:firstLine="641"/>
        <w:contextualSpacing/>
        <w:rPr>
          <w:rFonts w:ascii="仿宋_GB2312" w:hAnsi="仿宋_GB2312" w:eastAsia="宋体" w:cs="Times New Roman"/>
          <w:sz w:val="32"/>
          <w:szCs w:val="32"/>
        </w:rPr>
      </w:pPr>
      <w:r>
        <w:rPr>
          <w:rFonts w:ascii="仿宋_GB2312" w:hAnsi="仿宋_GB2312" w:eastAsia="宋体" w:cs="Times New Roman"/>
          <w:sz w:val="32"/>
          <w:szCs w:val="32"/>
        </w:rPr>
        <w:t>（六）通知本方案参加职工及受托人。</w:t>
      </w:r>
    </w:p>
    <w:p>
      <w:pPr>
        <w:keepNext/>
        <w:keepLines/>
        <w:spacing w:before="180" w:after="180" w:line="360" w:lineRule="auto"/>
        <w:jc w:val="center"/>
        <w:outlineLvl w:val="1"/>
        <w:rPr>
          <w:rFonts w:ascii="Arial" w:hAnsi="Arial" w:eastAsia="黑体" w:cs="Times New Roman"/>
          <w:sz w:val="32"/>
          <w:szCs w:val="32"/>
        </w:rPr>
      </w:pPr>
      <w:bookmarkStart w:id="59" w:name="_Toc56692320"/>
      <w:bookmarkEnd w:id="59"/>
      <w:bookmarkStart w:id="60" w:name="_Toc243825271"/>
      <w:bookmarkEnd w:id="60"/>
      <w:bookmarkStart w:id="61" w:name="_Toc318811838"/>
      <w:bookmarkEnd w:id="61"/>
      <w:bookmarkStart w:id="62" w:name="_Toc500946516"/>
      <w:bookmarkEnd w:id="62"/>
      <w:bookmarkStart w:id="63" w:name="_Toc238376853"/>
      <w:bookmarkEnd w:id="63"/>
      <w:bookmarkStart w:id="64" w:name="_Toc28396"/>
      <w:bookmarkEnd w:id="64"/>
      <w:bookmarkStart w:id="65" w:name="_Toc318811840"/>
      <w:bookmarkEnd w:id="65"/>
      <w:bookmarkStart w:id="66" w:name="_Toc243825273"/>
      <w:bookmarkEnd w:id="66"/>
      <w:bookmarkStart w:id="67" w:name="_Toc238376855"/>
      <w:r>
        <w:rPr>
          <w:rFonts w:hint="eastAsia" w:ascii="黑体" w:hAnsi="黑体" w:eastAsia="黑体" w:cs="Times New Roman"/>
          <w:sz w:val="32"/>
          <w:szCs w:val="32"/>
        </w:rPr>
        <w:t>第九章</w:t>
      </w:r>
      <w:bookmarkEnd w:id="67"/>
      <w:r>
        <w:rPr>
          <w:rFonts w:ascii="Arial" w:hAnsi="Arial" w:eastAsia="黑体" w:cs="Times New Roman"/>
          <w:sz w:val="32"/>
          <w:szCs w:val="32"/>
        </w:rPr>
        <w:t xml:space="preserve">  </w:t>
      </w:r>
      <w:r>
        <w:rPr>
          <w:rFonts w:hint="eastAsia" w:ascii="黑体" w:hAnsi="黑体" w:eastAsia="黑体" w:cs="Times New Roman"/>
          <w:sz w:val="32"/>
          <w:szCs w:val="32"/>
        </w:rPr>
        <w:t>组织管理和监督</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第三十五条</w:t>
      </w:r>
      <w:r>
        <w:rPr>
          <w:rFonts w:ascii="仿宋_GB2312" w:hAnsi="仿宋_GB2312" w:eastAsia="宋体" w:cs="Times New Roman"/>
          <w:sz w:val="32"/>
          <w:szCs w:val="32"/>
        </w:rPr>
        <w:t xml:space="preserve">  本单位的企业年金基金管理接受人力资源社会保障部门等国家相关部门的监督检查。本单位依照国家相关法律、法规对受托人进行监督。</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第三十六条</w:t>
      </w:r>
      <w:r>
        <w:rPr>
          <w:rFonts w:ascii="仿宋_GB2312" w:hAnsi="仿宋_GB2312" w:eastAsia="宋体" w:cs="Times New Roman"/>
          <w:sz w:val="32"/>
          <w:szCs w:val="32"/>
        </w:rPr>
        <w:t xml:space="preserve">  在接受国家相关部门监督的基础上，由本单位的纪检、工会和审计部门对本企业年金计划的运作管理进行内部监督。</w:t>
      </w:r>
    </w:p>
    <w:p>
      <w:pPr>
        <w:keepNext/>
        <w:keepLines/>
        <w:spacing w:before="180" w:after="180" w:line="360" w:lineRule="auto"/>
        <w:jc w:val="center"/>
        <w:outlineLvl w:val="1"/>
        <w:rPr>
          <w:rFonts w:ascii="Arial" w:hAnsi="Arial" w:eastAsia="黑体" w:cs="Times New Roman"/>
          <w:sz w:val="32"/>
          <w:szCs w:val="32"/>
        </w:rPr>
      </w:pPr>
      <w:bookmarkStart w:id="68" w:name="_Toc500946517"/>
      <w:bookmarkEnd w:id="68"/>
      <w:bookmarkStart w:id="69" w:name="_Toc56692321"/>
      <w:bookmarkEnd w:id="69"/>
      <w:bookmarkStart w:id="70" w:name="_Toc1846"/>
      <w:r>
        <w:rPr>
          <w:rFonts w:hint="eastAsia" w:ascii="黑体" w:hAnsi="黑体" w:eastAsia="黑体" w:cs="Times New Roman"/>
          <w:sz w:val="32"/>
          <w:szCs w:val="32"/>
        </w:rPr>
        <w:t>第十章</w:t>
      </w:r>
      <w:bookmarkEnd w:id="70"/>
      <w:r>
        <w:rPr>
          <w:rFonts w:ascii="Arial" w:hAnsi="Arial" w:eastAsia="黑体" w:cs="Times New Roman"/>
          <w:sz w:val="32"/>
          <w:szCs w:val="32"/>
        </w:rPr>
        <w:t xml:space="preserve">  </w:t>
      </w:r>
      <w:r>
        <w:rPr>
          <w:rFonts w:hint="eastAsia" w:ascii="黑体" w:hAnsi="黑体" w:eastAsia="黑体" w:cs="Times New Roman"/>
          <w:sz w:val="32"/>
          <w:szCs w:val="32"/>
        </w:rPr>
        <w:t>附则</w:t>
      </w:r>
    </w:p>
    <w:p>
      <w:pPr>
        <w:ind w:firstLine="643"/>
        <w:rPr>
          <w:rFonts w:ascii="仿宋_GB2312" w:hAnsi="仿宋_GB2312" w:eastAsia="宋体" w:cs="Times New Roman"/>
          <w:sz w:val="32"/>
          <w:szCs w:val="32"/>
        </w:rPr>
      </w:pPr>
      <w:bookmarkStart w:id="71" w:name="_Toc317606340"/>
      <w:bookmarkEnd w:id="71"/>
      <w:r>
        <w:rPr>
          <w:rFonts w:ascii="仿宋_GB2312" w:hAnsi="仿宋_GB2312" w:eastAsia="宋体" w:cs="Times New Roman"/>
          <w:b/>
          <w:bCs/>
          <w:sz w:val="32"/>
          <w:szCs w:val="32"/>
        </w:rPr>
        <w:t>第三十七条</w:t>
      </w:r>
      <w:r>
        <w:rPr>
          <w:rFonts w:ascii="仿宋_GB2312" w:hAnsi="仿宋_GB2312" w:eastAsia="宋体" w:cs="Times New Roman"/>
          <w:sz w:val="32"/>
          <w:szCs w:val="32"/>
        </w:rPr>
        <w:t xml:space="preserve">  本方案自</w:t>
      </w:r>
      <w:r>
        <w:rPr>
          <w:rFonts w:ascii="仿宋_GB2312" w:hAnsi="仿宋_GB2312" w:eastAsia="宋体" w:cs="Times New Roman"/>
          <w:sz w:val="32"/>
          <w:szCs w:val="32"/>
          <w:u w:val="single"/>
        </w:rPr>
        <w:t>××年×月×日</w:t>
      </w:r>
      <w:r>
        <w:rPr>
          <w:rFonts w:ascii="仿宋_GB2312" w:hAnsi="仿宋_GB2312" w:eastAsia="宋体" w:cs="Times New Roman"/>
          <w:sz w:val="32"/>
          <w:szCs w:val="32"/>
        </w:rPr>
        <w:t>起开始实施。</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第三十八条</w:t>
      </w:r>
      <w:r>
        <w:rPr>
          <w:rFonts w:ascii="仿宋_GB2312" w:hAnsi="仿宋_GB2312" w:eastAsia="宋体" w:cs="Times New Roman"/>
          <w:sz w:val="32"/>
          <w:szCs w:val="32"/>
        </w:rPr>
        <w:t xml:space="preserve">  因订立或者履行企业年金方案发生争议的，根据《集体合同规定》处理。</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第三十九条</w:t>
      </w:r>
      <w:r>
        <w:rPr>
          <w:rFonts w:ascii="仿宋_GB2312" w:hAnsi="仿宋_GB2312" w:eastAsia="宋体" w:cs="Times New Roman"/>
          <w:sz w:val="32"/>
          <w:szCs w:val="32"/>
        </w:rPr>
        <w:t xml:space="preserve">  因履行企业年金基金管理合同发生争议的，当事人可以依法申请仲裁或者提起诉讼。</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第四十条</w:t>
      </w:r>
      <w:r>
        <w:rPr>
          <w:rFonts w:ascii="仿宋_GB2312" w:hAnsi="仿宋_GB2312" w:eastAsia="宋体" w:cs="Times New Roman"/>
          <w:sz w:val="32"/>
          <w:szCs w:val="32"/>
        </w:rPr>
        <w:t xml:space="preserve">  本方案涉及的相关财税问题，按照国家相关规定执行。</w:t>
      </w:r>
    </w:p>
    <w:p>
      <w:pPr>
        <w:ind w:firstLine="643"/>
        <w:rPr>
          <w:rFonts w:ascii="仿宋_GB2312" w:hAnsi="仿宋_GB2312" w:eastAsia="宋体" w:cs="Times New Roman"/>
          <w:sz w:val="32"/>
          <w:szCs w:val="32"/>
        </w:rPr>
      </w:pPr>
      <w:r>
        <w:rPr>
          <w:rFonts w:ascii="仿宋_GB2312" w:hAnsi="仿宋_GB2312" w:eastAsia="宋体" w:cs="Times New Roman"/>
          <w:b/>
          <w:bCs/>
          <w:sz w:val="32"/>
          <w:szCs w:val="32"/>
        </w:rPr>
        <w:t>第四十一条</w:t>
      </w:r>
      <w:r>
        <w:rPr>
          <w:rFonts w:ascii="仿宋_GB2312" w:hAnsi="仿宋_GB2312" w:eastAsia="宋体" w:cs="Times New Roman"/>
          <w:sz w:val="32"/>
          <w:szCs w:val="32"/>
        </w:rPr>
        <w:t xml:space="preserve">  本单位拥有对本方案的最终解释权。</w:t>
      </w:r>
    </w:p>
    <w:p>
      <w:pPr>
        <w:widowControl/>
        <w:jc w:val="left"/>
        <w:rPr>
          <w:rFonts w:hint="eastAsia" w:ascii="仿宋_GB2312" w:hAnsi="仿宋_GB2312" w:eastAsia="宋体" w:cs="宋体"/>
          <w:b/>
          <w:bCs/>
          <w:sz w:val="32"/>
          <w:szCs w:val="32"/>
        </w:rPr>
        <w:sectPr>
          <w:pgSz w:w="11906" w:h="16838"/>
          <w:pgMar w:top="1440" w:right="1797" w:bottom="1440" w:left="1797" w:header="720" w:footer="720" w:gutter="0"/>
          <w:cols w:space="720" w:num="1"/>
          <w:docGrid w:type="lines" w:linePitch="312" w:charSpace="0"/>
        </w:sectPr>
      </w:pPr>
    </w:p>
    <w:p>
      <w:pPr>
        <w:spacing w:line="360" w:lineRule="auto"/>
        <w:contextualSpacing/>
        <w:rPr>
          <w:rFonts w:ascii="仿宋_GB2312" w:hAnsi="仿宋_GB2312" w:eastAsia="宋体" w:cs="Times New Roman"/>
          <w:b/>
          <w:bCs/>
          <w:sz w:val="32"/>
          <w:szCs w:val="32"/>
        </w:rPr>
      </w:pPr>
      <w:bookmarkStart w:id="72" w:name="_Toc23960"/>
      <w:bookmarkEnd w:id="72"/>
      <w:bookmarkStart w:id="73" w:name="_Toc500946518"/>
      <w:r>
        <w:rPr>
          <w:rFonts w:ascii="仿宋_GB2312" w:hAnsi="仿宋_GB2312" w:eastAsia="宋体" w:cs="Times New Roman"/>
          <w:b/>
          <w:bCs/>
          <w:sz w:val="32"/>
          <w:szCs w:val="32"/>
        </w:rPr>
        <w:t xml:space="preserve">附件 </w:t>
      </w:r>
      <w:r>
        <w:rPr>
          <w:rFonts w:hint="eastAsia" w:ascii="宋体" w:hAnsi="宋体" w:eastAsia="宋体" w:cs="宋体"/>
          <w:b/>
          <w:bCs/>
          <w:sz w:val="32"/>
          <w:szCs w:val="32"/>
        </w:rPr>
        <w:t>①</w:t>
      </w:r>
      <w:r>
        <w:rPr>
          <w:rFonts w:ascii="仿宋_GB2312" w:hAnsi="仿宋_GB2312" w:eastAsia="宋体" w:cs="Times New Roman"/>
          <w:b/>
          <w:bCs/>
          <w:sz w:val="32"/>
          <w:szCs w:val="32"/>
        </w:rPr>
        <w:t>：</w:t>
      </w:r>
      <w:bookmarkEnd w:id="73"/>
    </w:p>
    <w:p>
      <w:pPr>
        <w:keepNext/>
        <w:keepLines/>
        <w:adjustRightInd w:val="0"/>
        <w:snapToGrid w:val="0"/>
        <w:spacing w:line="410" w:lineRule="auto"/>
        <w:jc w:val="center"/>
        <w:outlineLvl w:val="1"/>
        <w:rPr>
          <w:rFonts w:ascii="黑体" w:hAnsi="黑体" w:eastAsia="黑体" w:cs="Times New Roman"/>
          <w:b/>
          <w:bCs/>
          <w:sz w:val="32"/>
          <w:szCs w:val="32"/>
        </w:rPr>
      </w:pPr>
      <w:bookmarkStart w:id="74" w:name="_Toc56692322"/>
      <w:bookmarkEnd w:id="74"/>
      <w:r>
        <w:rPr>
          <w:rFonts w:hint="eastAsia" w:ascii="黑体" w:hAnsi="黑体" w:eastAsia="黑体" w:cs="Times New Roman"/>
          <w:b/>
          <w:bCs/>
          <w:sz w:val="32"/>
          <w:szCs w:val="32"/>
        </w:rPr>
        <w:t>职工放弃（参加）企业年金申请表</w:t>
      </w:r>
    </w:p>
    <w:tbl>
      <w:tblPr>
        <w:tblStyle w:val="4"/>
        <w:tblW w:w="8514" w:type="dxa"/>
        <w:tblInd w:w="135" w:type="dxa"/>
        <w:tblLayout w:type="fixed"/>
        <w:tblCellMar>
          <w:top w:w="0" w:type="dxa"/>
          <w:left w:w="108" w:type="dxa"/>
          <w:bottom w:w="0" w:type="dxa"/>
          <w:right w:w="108" w:type="dxa"/>
        </w:tblCellMar>
      </w:tblPr>
      <w:tblGrid>
        <w:gridCol w:w="1101"/>
        <w:gridCol w:w="1023"/>
        <w:gridCol w:w="6390"/>
      </w:tblGrid>
      <w:tr>
        <w:tblPrEx>
          <w:tblCellMar>
            <w:top w:w="0" w:type="dxa"/>
            <w:left w:w="108" w:type="dxa"/>
            <w:bottom w:w="0" w:type="dxa"/>
            <w:right w:w="108" w:type="dxa"/>
          </w:tblCellMar>
        </w:tblPrEx>
        <w:trPr>
          <w:trHeight w:val="490" w:hRule="atLeast"/>
        </w:trPr>
        <w:tc>
          <w:tcPr>
            <w:tcW w:w="2124" w:type="dxa"/>
            <w:gridSpan w:val="2"/>
            <w:tcBorders>
              <w:top w:val="single" w:color="auto" w:sz="18" w:space="0"/>
              <w:left w:val="single" w:color="auto" w:sz="18" w:space="0"/>
              <w:bottom w:val="single" w:color="000000" w:sz="4" w:space="0"/>
              <w:right w:val="single" w:color="000000" w:sz="4" w:space="0"/>
            </w:tcBorders>
            <w:vAlign w:val="center"/>
          </w:tcPr>
          <w:p>
            <w:pPr>
              <w:spacing w:line="500" w:lineRule="exact"/>
              <w:rPr>
                <w:rFonts w:ascii="仿宋_GB2312" w:hAnsi="Calibri" w:eastAsia="宋体" w:cs="Times New Roman"/>
                <w:sz w:val="30"/>
                <w:szCs w:val="30"/>
              </w:rPr>
            </w:pPr>
            <w:r>
              <w:rPr>
                <w:rFonts w:ascii="仿宋_GB2312" w:hAnsi="Calibri" w:eastAsia="宋体" w:cs="Times New Roman"/>
                <w:sz w:val="30"/>
                <w:szCs w:val="30"/>
              </w:rPr>
              <w:t>申请人姓名</w:t>
            </w:r>
          </w:p>
        </w:tc>
        <w:tc>
          <w:tcPr>
            <w:tcW w:w="6390" w:type="dxa"/>
            <w:tcBorders>
              <w:top w:val="single" w:color="auto" w:sz="18" w:space="0"/>
              <w:left w:val="nil"/>
              <w:bottom w:val="single" w:color="000000" w:sz="4" w:space="0"/>
              <w:right w:val="single" w:color="auto" w:sz="18" w:space="0"/>
            </w:tcBorders>
            <w:vAlign w:val="center"/>
          </w:tcPr>
          <w:p>
            <w:pPr>
              <w:spacing w:line="500" w:lineRule="exact"/>
              <w:rPr>
                <w:rFonts w:ascii="仿宋_GB2312" w:hAnsi="Calibri" w:eastAsia="宋体" w:cs="Times New Roman"/>
                <w:sz w:val="30"/>
                <w:szCs w:val="30"/>
              </w:rPr>
            </w:pPr>
          </w:p>
        </w:tc>
      </w:tr>
      <w:tr>
        <w:tblPrEx>
          <w:tblCellMar>
            <w:top w:w="0" w:type="dxa"/>
            <w:left w:w="108" w:type="dxa"/>
            <w:bottom w:w="0" w:type="dxa"/>
            <w:right w:w="108" w:type="dxa"/>
          </w:tblCellMar>
        </w:tblPrEx>
        <w:trPr>
          <w:trHeight w:val="490" w:hRule="atLeast"/>
        </w:trPr>
        <w:tc>
          <w:tcPr>
            <w:tcW w:w="2124" w:type="dxa"/>
            <w:gridSpan w:val="2"/>
            <w:tcBorders>
              <w:top w:val="single" w:color="000000" w:sz="4" w:space="0"/>
              <w:left w:val="single" w:color="auto" w:sz="18" w:space="0"/>
              <w:bottom w:val="single" w:color="auto" w:sz="18" w:space="0"/>
              <w:right w:val="single" w:color="000000" w:sz="4" w:space="0"/>
            </w:tcBorders>
            <w:vAlign w:val="center"/>
          </w:tcPr>
          <w:p>
            <w:pPr>
              <w:spacing w:line="500" w:lineRule="exact"/>
              <w:rPr>
                <w:rFonts w:ascii="仿宋_GB2312" w:hAnsi="Calibri" w:eastAsia="宋体" w:cs="Times New Roman"/>
                <w:sz w:val="30"/>
                <w:szCs w:val="30"/>
              </w:rPr>
            </w:pPr>
            <w:r>
              <w:rPr>
                <w:rFonts w:ascii="仿宋_GB2312" w:hAnsi="Calibri" w:eastAsia="宋体" w:cs="Times New Roman"/>
                <w:sz w:val="30"/>
                <w:szCs w:val="30"/>
              </w:rPr>
              <w:t>身份证号码</w:t>
            </w:r>
          </w:p>
        </w:tc>
        <w:tc>
          <w:tcPr>
            <w:tcW w:w="6390" w:type="dxa"/>
            <w:tcBorders>
              <w:top w:val="single" w:color="000000" w:sz="4" w:space="0"/>
              <w:left w:val="nil"/>
              <w:bottom w:val="single" w:color="auto" w:sz="18" w:space="0"/>
              <w:right w:val="single" w:color="auto" w:sz="18" w:space="0"/>
            </w:tcBorders>
            <w:vAlign w:val="center"/>
          </w:tcPr>
          <w:p>
            <w:pPr>
              <w:spacing w:line="500" w:lineRule="exact"/>
              <w:rPr>
                <w:rFonts w:ascii="仿宋_GB2312" w:hAnsi="Calibri" w:eastAsia="宋体" w:cs="Times New Roman"/>
                <w:sz w:val="30"/>
                <w:szCs w:val="30"/>
              </w:rPr>
            </w:pPr>
          </w:p>
        </w:tc>
      </w:tr>
      <w:tr>
        <w:tblPrEx>
          <w:tblCellMar>
            <w:top w:w="0" w:type="dxa"/>
            <w:left w:w="108" w:type="dxa"/>
            <w:bottom w:w="0" w:type="dxa"/>
            <w:right w:w="108" w:type="dxa"/>
          </w:tblCellMar>
        </w:tblPrEx>
        <w:trPr>
          <w:trHeight w:val="2764" w:hRule="atLeast"/>
        </w:trPr>
        <w:tc>
          <w:tcPr>
            <w:tcW w:w="8514" w:type="dxa"/>
            <w:gridSpan w:val="3"/>
            <w:tcBorders>
              <w:top w:val="single" w:color="000000" w:sz="4" w:space="0"/>
              <w:left w:val="single" w:color="auto" w:sz="18" w:space="0"/>
              <w:bottom w:val="single" w:color="auto" w:sz="4" w:space="0"/>
              <w:right w:val="single" w:color="auto" w:sz="18" w:space="0"/>
            </w:tcBorders>
          </w:tcPr>
          <w:p>
            <w:pPr>
              <w:adjustRightInd w:val="0"/>
              <w:snapToGrid w:val="0"/>
              <w:spacing w:line="500" w:lineRule="exact"/>
              <w:jc w:val="center"/>
              <w:rPr>
                <w:rFonts w:ascii="仿宋_GB2312" w:hAnsi="黑体" w:eastAsia="宋体" w:cs="黑体"/>
                <w:b/>
                <w:bCs/>
                <w:sz w:val="30"/>
                <w:szCs w:val="30"/>
              </w:rPr>
            </w:pPr>
            <w:r>
              <w:rPr>
                <w:rFonts w:ascii="仿宋_GB2312" w:hAnsi="黑体" w:eastAsia="宋体" w:cs="黑体"/>
                <w:b/>
                <w:bCs/>
                <w:sz w:val="30"/>
                <w:szCs w:val="30"/>
              </w:rPr>
              <w:t>放弃参加企业年金的声明</w:t>
            </w:r>
          </w:p>
          <w:p>
            <w:pPr>
              <w:spacing w:line="560" w:lineRule="exact"/>
              <w:ind w:firstLine="600"/>
              <w:rPr>
                <w:rFonts w:ascii="仿宋_GB2312" w:hAnsi="Calibri" w:eastAsia="宋体" w:cs="Times New Roman"/>
                <w:sz w:val="30"/>
                <w:szCs w:val="30"/>
              </w:rPr>
            </w:pPr>
            <w:r>
              <w:rPr>
                <w:rFonts w:ascii="仿宋_GB2312" w:hAnsi="Calibri" w:eastAsia="宋体" w:cs="Times New Roman"/>
                <w:sz w:val="30"/>
                <w:szCs w:val="30"/>
              </w:rPr>
              <w:t>本人已认真阅读并理解《××单位企业年金方案》。经慎重考虑，本人放弃参加××单位企业年金。</w:t>
            </w:r>
          </w:p>
          <w:p>
            <w:pPr>
              <w:spacing w:line="400" w:lineRule="exact"/>
              <w:ind w:firstLine="4698" w:firstLineChars="1566"/>
              <w:rPr>
                <w:rFonts w:ascii="仿宋_GB2312" w:hAnsi="Calibri" w:eastAsia="宋体" w:cs="Times New Roman"/>
                <w:sz w:val="30"/>
                <w:szCs w:val="30"/>
              </w:rPr>
            </w:pPr>
          </w:p>
          <w:p>
            <w:pPr>
              <w:spacing w:line="500" w:lineRule="exact"/>
              <w:ind w:firstLine="4698" w:firstLineChars="1566"/>
              <w:rPr>
                <w:rFonts w:ascii="仿宋_GB2312" w:hAnsi="Calibri" w:eastAsia="宋体" w:cs="Times New Roman"/>
                <w:sz w:val="30"/>
                <w:szCs w:val="30"/>
              </w:rPr>
            </w:pPr>
            <w:r>
              <w:rPr>
                <w:rFonts w:ascii="仿宋_GB2312" w:hAnsi="Calibri" w:eastAsia="宋体" w:cs="Times New Roman"/>
                <w:sz w:val="30"/>
                <w:szCs w:val="30"/>
              </w:rPr>
              <w:t>申请人：</w:t>
            </w:r>
          </w:p>
          <w:p>
            <w:pPr>
              <w:spacing w:line="500" w:lineRule="exact"/>
              <w:ind w:left="600"/>
              <w:jc w:val="left"/>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1897" w:hRule="atLeast"/>
        </w:trPr>
        <w:tc>
          <w:tcPr>
            <w:tcW w:w="1101" w:type="dxa"/>
            <w:tcBorders>
              <w:top w:val="single" w:color="000000" w:sz="4" w:space="0"/>
              <w:left w:val="single" w:color="auto" w:sz="18" w:space="0"/>
              <w:bottom w:val="single" w:color="auto" w:sz="18" w:space="0"/>
              <w:right w:val="single" w:color="000000" w:sz="4" w:space="0"/>
            </w:tcBorders>
            <w:vAlign w:val="center"/>
          </w:tcPr>
          <w:p>
            <w:pPr>
              <w:adjustRightInd w:val="0"/>
              <w:snapToGrid w:val="0"/>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单位</w:t>
            </w:r>
          </w:p>
          <w:p>
            <w:pPr>
              <w:adjustRightInd w:val="0"/>
              <w:snapToGrid w:val="0"/>
              <w:spacing w:line="500" w:lineRule="exact"/>
              <w:jc w:val="center"/>
              <w:rPr>
                <w:rFonts w:ascii="仿宋_GB2312" w:hAnsi="黑体" w:eastAsia="宋体" w:cs="黑体"/>
                <w:b/>
                <w:bCs/>
                <w:sz w:val="30"/>
                <w:szCs w:val="30"/>
              </w:rPr>
            </w:pPr>
            <w:r>
              <w:rPr>
                <w:rFonts w:ascii="仿宋_GB2312" w:hAnsi="Calibri" w:eastAsia="宋体" w:cs="Times New Roman"/>
                <w:sz w:val="30"/>
                <w:szCs w:val="30"/>
              </w:rPr>
              <w:t>意见</w:t>
            </w:r>
          </w:p>
        </w:tc>
        <w:tc>
          <w:tcPr>
            <w:tcW w:w="7413" w:type="dxa"/>
            <w:gridSpan w:val="2"/>
            <w:tcBorders>
              <w:top w:val="single" w:color="000000" w:sz="4" w:space="0"/>
              <w:left w:val="nil"/>
              <w:bottom w:val="single" w:color="auto" w:sz="18" w:space="0"/>
              <w:right w:val="single" w:color="auto" w:sz="18" w:space="0"/>
            </w:tcBorders>
          </w:tcPr>
          <w:p>
            <w:pPr>
              <w:spacing w:before="240" w:line="480" w:lineRule="exact"/>
              <w:ind w:firstLine="600"/>
              <w:rPr>
                <w:rFonts w:ascii="仿宋_GB2312" w:hAnsi="Calibri" w:eastAsia="宋体" w:cs="Times New Roman"/>
                <w:sz w:val="30"/>
                <w:szCs w:val="30"/>
              </w:rPr>
            </w:pPr>
            <w:r>
              <w:rPr>
                <w:rFonts w:ascii="仿宋_GB2312" w:hAnsi="Calibri" w:eastAsia="宋体" w:cs="Times New Roman"/>
                <w:sz w:val="30"/>
                <w:szCs w:val="30"/>
              </w:rPr>
              <w:t>经审核，同意该职工不参加企业年金。</w:t>
            </w:r>
          </w:p>
          <w:p>
            <w:pPr>
              <w:spacing w:line="480" w:lineRule="exact"/>
              <w:ind w:firstLine="600"/>
              <w:rPr>
                <w:rFonts w:ascii="仿宋_GB2312" w:hAnsi="Calibri" w:eastAsia="宋体" w:cs="Times New Roman"/>
                <w:b/>
                <w:bCs/>
                <w:sz w:val="30"/>
                <w:szCs w:val="30"/>
              </w:rPr>
            </w:pPr>
          </w:p>
          <w:p>
            <w:pPr>
              <w:spacing w:line="480" w:lineRule="exact"/>
              <w:ind w:firstLine="1698" w:firstLineChars="566"/>
              <w:rPr>
                <w:rFonts w:ascii="仿宋_GB2312" w:hAnsi="Calibri" w:eastAsia="宋体" w:cs="Times New Roman"/>
                <w:sz w:val="30"/>
                <w:szCs w:val="30"/>
              </w:rPr>
            </w:pPr>
            <w:r>
              <w:rPr>
                <w:rFonts w:ascii="仿宋_GB2312" w:hAnsi="Calibri" w:eastAsia="宋体" w:cs="Times New Roman"/>
                <w:sz w:val="30"/>
                <w:szCs w:val="30"/>
              </w:rPr>
              <w:t xml:space="preserve">             签字（盖章）：</w:t>
            </w:r>
          </w:p>
          <w:p>
            <w:pPr>
              <w:adjustRightInd w:val="0"/>
              <w:snapToGrid w:val="0"/>
              <w:spacing w:line="500" w:lineRule="exact"/>
              <w:jc w:val="center"/>
              <w:rPr>
                <w:rFonts w:ascii="仿宋_GB2312" w:hAnsi="黑体" w:eastAsia="宋体" w:cs="黑体"/>
                <w:b/>
                <w:bCs/>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2759" w:hRule="atLeast"/>
        </w:trPr>
        <w:tc>
          <w:tcPr>
            <w:tcW w:w="8514" w:type="dxa"/>
            <w:gridSpan w:val="3"/>
            <w:tcBorders>
              <w:top w:val="single" w:color="auto" w:sz="4" w:space="0"/>
              <w:left w:val="single" w:color="auto" w:sz="18" w:space="0"/>
              <w:bottom w:val="single" w:color="000000" w:sz="4" w:space="0"/>
              <w:right w:val="single" w:color="auto" w:sz="18" w:space="0"/>
            </w:tcBorders>
            <w:vAlign w:val="center"/>
          </w:tcPr>
          <w:p>
            <w:pPr>
              <w:adjustRightInd w:val="0"/>
              <w:snapToGrid w:val="0"/>
              <w:spacing w:line="500" w:lineRule="exact"/>
              <w:jc w:val="center"/>
              <w:rPr>
                <w:rFonts w:ascii="仿宋_GB2312" w:hAnsi="黑体" w:eastAsia="宋体" w:cs="黑体"/>
                <w:b/>
                <w:bCs/>
                <w:sz w:val="30"/>
                <w:szCs w:val="30"/>
              </w:rPr>
            </w:pPr>
            <w:r>
              <w:rPr>
                <w:rFonts w:ascii="仿宋_GB2312" w:hAnsi="黑体" w:eastAsia="宋体" w:cs="黑体"/>
                <w:b/>
                <w:bCs/>
                <w:sz w:val="30"/>
                <w:szCs w:val="30"/>
              </w:rPr>
              <w:t>职工参加企业年金的声明</w:t>
            </w:r>
          </w:p>
          <w:p>
            <w:pPr>
              <w:spacing w:line="560" w:lineRule="exact"/>
              <w:ind w:firstLine="600"/>
              <w:rPr>
                <w:rFonts w:ascii="仿宋_GB2312" w:hAnsi="Calibri" w:eastAsia="宋体" w:cs="Times New Roman"/>
                <w:sz w:val="30"/>
                <w:szCs w:val="30"/>
              </w:rPr>
            </w:pPr>
            <w:r>
              <w:rPr>
                <w:rFonts w:ascii="仿宋_GB2312" w:hAnsi="Calibri" w:eastAsia="宋体" w:cs="Times New Roman"/>
                <w:sz w:val="30"/>
                <w:szCs w:val="30"/>
              </w:rPr>
              <w:t>本人申请自</w:t>
            </w:r>
            <w:r>
              <w:rPr>
                <w:rFonts w:ascii="仿宋_GB2312" w:hAnsi="Calibri" w:eastAsia="宋体" w:cs="Times New Roman"/>
                <w:sz w:val="30"/>
                <w:szCs w:val="30"/>
                <w:u w:val="single"/>
              </w:rPr>
              <w:t xml:space="preserve">    </w:t>
            </w:r>
            <w:r>
              <w:rPr>
                <w:rFonts w:ascii="仿宋_GB2312" w:hAnsi="Calibri" w:eastAsia="宋体" w:cs="Times New Roman"/>
                <w:sz w:val="30"/>
                <w:szCs w:val="30"/>
              </w:rPr>
              <w:t>年</w:t>
            </w:r>
            <w:r>
              <w:rPr>
                <w:rFonts w:ascii="仿宋_GB2312" w:hAnsi="Calibri" w:eastAsia="宋体" w:cs="Times New Roman"/>
                <w:sz w:val="30"/>
                <w:szCs w:val="30"/>
                <w:u w:val="single"/>
              </w:rPr>
              <w:t xml:space="preserve">  </w:t>
            </w:r>
            <w:r>
              <w:rPr>
                <w:rFonts w:ascii="仿宋_GB2312" w:hAnsi="Calibri" w:eastAsia="宋体" w:cs="Times New Roman"/>
                <w:sz w:val="30"/>
                <w:szCs w:val="30"/>
              </w:rPr>
              <w:t>月起，参加</w:t>
            </w:r>
            <w:r>
              <w:rPr>
                <w:rFonts w:ascii="仿宋_GB2312" w:hAnsi="Calibri" w:eastAsia="宋体" w:cs="Times New Roman"/>
                <w:sz w:val="30"/>
                <w:szCs w:val="30"/>
                <w:u w:val="single"/>
              </w:rPr>
              <w:t>××单位</w:t>
            </w:r>
            <w:r>
              <w:rPr>
                <w:rFonts w:ascii="仿宋_GB2312" w:hAnsi="Calibri" w:eastAsia="宋体" w:cs="Times New Roman"/>
                <w:sz w:val="30"/>
                <w:szCs w:val="30"/>
              </w:rPr>
              <w:t>企业年金。</w:t>
            </w:r>
          </w:p>
          <w:p>
            <w:pPr>
              <w:spacing w:line="400" w:lineRule="exact"/>
              <w:ind w:firstLine="4698" w:firstLineChars="1566"/>
              <w:rPr>
                <w:rFonts w:ascii="仿宋_GB2312" w:hAnsi="Calibri" w:eastAsia="宋体" w:cs="Times New Roman"/>
                <w:sz w:val="30"/>
                <w:szCs w:val="30"/>
              </w:rPr>
            </w:pPr>
          </w:p>
          <w:p>
            <w:pPr>
              <w:spacing w:line="400" w:lineRule="exact"/>
              <w:ind w:firstLine="4698" w:firstLineChars="1566"/>
              <w:rPr>
                <w:rFonts w:ascii="仿宋_GB2312" w:hAnsi="Calibri" w:eastAsia="宋体" w:cs="Times New Roman"/>
                <w:sz w:val="30"/>
                <w:szCs w:val="30"/>
              </w:rPr>
            </w:pPr>
            <w:r>
              <w:rPr>
                <w:rFonts w:ascii="仿宋_GB2312" w:hAnsi="Calibri" w:eastAsia="宋体" w:cs="Times New Roman"/>
                <w:sz w:val="30"/>
                <w:szCs w:val="30"/>
              </w:rPr>
              <w:t>申请人：</w:t>
            </w:r>
          </w:p>
          <w:p>
            <w:pPr>
              <w:spacing w:line="500" w:lineRule="exact"/>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2907" w:hRule="atLeast"/>
        </w:trPr>
        <w:tc>
          <w:tcPr>
            <w:tcW w:w="1101" w:type="dxa"/>
            <w:tcBorders>
              <w:top w:val="single" w:color="000000" w:sz="4" w:space="0"/>
              <w:left w:val="single" w:color="auto" w:sz="18" w:space="0"/>
              <w:bottom w:val="single" w:color="auto" w:sz="18" w:space="0"/>
              <w:right w:val="single" w:color="000000" w:sz="4" w:space="0"/>
            </w:tcBorders>
            <w:vAlign w:val="center"/>
          </w:tcPr>
          <w:p>
            <w:pPr>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单位</w:t>
            </w:r>
          </w:p>
          <w:p>
            <w:pPr>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意见</w:t>
            </w:r>
          </w:p>
        </w:tc>
        <w:tc>
          <w:tcPr>
            <w:tcW w:w="7413" w:type="dxa"/>
            <w:gridSpan w:val="2"/>
            <w:tcBorders>
              <w:top w:val="single" w:color="000000" w:sz="4" w:space="0"/>
              <w:left w:val="nil"/>
              <w:bottom w:val="single" w:color="auto" w:sz="18" w:space="0"/>
              <w:right w:val="single" w:color="auto" w:sz="18" w:space="0"/>
            </w:tcBorders>
            <w:vAlign w:val="center"/>
          </w:tcPr>
          <w:p>
            <w:pPr>
              <w:spacing w:before="240" w:line="480" w:lineRule="exact"/>
              <w:ind w:firstLine="600"/>
              <w:rPr>
                <w:rFonts w:ascii="仿宋_GB2312" w:hAnsi="Calibri" w:eastAsia="宋体" w:cs="Times New Roman"/>
                <w:sz w:val="30"/>
                <w:szCs w:val="30"/>
              </w:rPr>
            </w:pPr>
            <w:r>
              <w:rPr>
                <w:rFonts w:ascii="仿宋_GB2312" w:hAnsi="Calibri" w:eastAsia="宋体" w:cs="Times New Roman"/>
                <w:sz w:val="30"/>
                <w:szCs w:val="30"/>
              </w:rPr>
              <w:t>经审核，该职工符合参加企业年金的条件，同意其参加企业年金。</w:t>
            </w:r>
          </w:p>
          <w:p>
            <w:pPr>
              <w:spacing w:before="240" w:line="400" w:lineRule="exact"/>
              <w:ind w:firstLine="600"/>
              <w:rPr>
                <w:rFonts w:ascii="仿宋_GB2312" w:hAnsi="Calibri" w:eastAsia="宋体" w:cs="Times New Roman"/>
                <w:sz w:val="30"/>
                <w:szCs w:val="30"/>
              </w:rPr>
            </w:pPr>
          </w:p>
          <w:p>
            <w:pPr>
              <w:spacing w:line="400" w:lineRule="exact"/>
              <w:ind w:firstLine="1698" w:firstLineChars="566"/>
              <w:rPr>
                <w:rFonts w:ascii="仿宋_GB2312" w:hAnsi="Calibri" w:eastAsia="宋体" w:cs="Times New Roman"/>
                <w:sz w:val="30"/>
                <w:szCs w:val="30"/>
              </w:rPr>
            </w:pPr>
            <w:r>
              <w:rPr>
                <w:rFonts w:ascii="仿宋_GB2312" w:hAnsi="Calibri" w:eastAsia="宋体" w:cs="Times New Roman"/>
                <w:sz w:val="30"/>
                <w:szCs w:val="30"/>
              </w:rPr>
              <w:t xml:space="preserve">             签字（盖章）：</w:t>
            </w:r>
          </w:p>
          <w:p>
            <w:pPr>
              <w:spacing w:line="500" w:lineRule="exact"/>
              <w:ind w:firstLine="3300" w:firstLineChars="1100"/>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bl>
    <w:p>
      <w:pPr>
        <w:spacing w:line="360" w:lineRule="auto"/>
        <w:contextualSpacing/>
        <w:rPr>
          <w:rFonts w:ascii="仿宋_GB2312" w:hAnsi="仿宋_GB2312" w:eastAsia="宋体" w:cs="Times New Roman"/>
          <w:b/>
          <w:bCs/>
          <w:sz w:val="32"/>
          <w:szCs w:val="32"/>
        </w:rPr>
      </w:pPr>
      <w:bookmarkStart w:id="75" w:name="_Toc500946522"/>
      <w:bookmarkEnd w:id="75"/>
    </w:p>
    <w:p>
      <w:pPr>
        <w:spacing w:line="360" w:lineRule="auto"/>
        <w:contextualSpacing/>
        <w:rPr>
          <w:rFonts w:hint="eastAsia" w:ascii="仿宋_GB2312" w:hAnsi="仿宋_GB2312" w:eastAsia="宋体" w:cs="Times New Roman"/>
          <w:b/>
          <w:bCs/>
          <w:sz w:val="32"/>
          <w:szCs w:val="32"/>
        </w:rPr>
      </w:pPr>
      <w:r>
        <w:rPr>
          <w:rFonts w:ascii="仿宋_GB2312" w:hAnsi="仿宋_GB2312" w:eastAsia="宋体" w:cs="Times New Roman"/>
          <w:b/>
          <w:bCs/>
          <w:sz w:val="32"/>
          <w:szCs w:val="32"/>
        </w:rPr>
        <w:t>附件</w:t>
      </w:r>
      <w:r>
        <w:rPr>
          <w:rFonts w:hint="eastAsia" w:ascii="宋体" w:hAnsi="宋体" w:eastAsia="宋体" w:cs="宋体"/>
          <w:b/>
          <w:bCs/>
          <w:sz w:val="32"/>
          <w:szCs w:val="32"/>
        </w:rPr>
        <w:t>②</w:t>
      </w:r>
      <w:r>
        <w:rPr>
          <w:rFonts w:ascii="仿宋_GB2312" w:hAnsi="仿宋_GB2312" w:eastAsia="宋体" w:cs="Times New Roman"/>
          <w:b/>
          <w:bCs/>
          <w:sz w:val="32"/>
          <w:szCs w:val="32"/>
        </w:rPr>
        <w:t>：</w:t>
      </w:r>
    </w:p>
    <w:p>
      <w:pPr>
        <w:keepNext/>
        <w:keepLines/>
        <w:adjustRightInd w:val="0"/>
        <w:snapToGrid w:val="0"/>
        <w:spacing w:line="410" w:lineRule="auto"/>
        <w:jc w:val="center"/>
        <w:outlineLvl w:val="1"/>
        <w:rPr>
          <w:rFonts w:ascii="黑体" w:hAnsi="黑体" w:eastAsia="黑体" w:cs="Times New Roman"/>
          <w:b/>
          <w:bCs/>
          <w:sz w:val="32"/>
          <w:szCs w:val="32"/>
        </w:rPr>
      </w:pPr>
      <w:bookmarkStart w:id="76" w:name="_Toc56692323"/>
      <w:bookmarkEnd w:id="76"/>
      <w:bookmarkStart w:id="77" w:name="_Toc500946523"/>
      <w:r>
        <w:rPr>
          <w:rFonts w:hint="eastAsia" w:ascii="黑体" w:hAnsi="黑体" w:eastAsia="黑体" w:cs="Times New Roman"/>
          <w:b/>
          <w:bCs/>
          <w:sz w:val="32"/>
          <w:szCs w:val="32"/>
        </w:rPr>
        <w:t>职工中止（恢复）企业年金缴费申请表</w:t>
      </w:r>
      <w:bookmarkEnd w:id="77"/>
    </w:p>
    <w:tbl>
      <w:tblPr>
        <w:tblStyle w:val="4"/>
        <w:tblW w:w="8613" w:type="dxa"/>
        <w:tblInd w:w="135" w:type="dxa"/>
        <w:tblLayout w:type="fixed"/>
        <w:tblCellMar>
          <w:top w:w="0" w:type="dxa"/>
          <w:left w:w="108" w:type="dxa"/>
          <w:bottom w:w="0" w:type="dxa"/>
          <w:right w:w="108" w:type="dxa"/>
        </w:tblCellMar>
      </w:tblPr>
      <w:tblGrid>
        <w:gridCol w:w="959"/>
        <w:gridCol w:w="992"/>
        <w:gridCol w:w="6662"/>
      </w:tblGrid>
      <w:tr>
        <w:tblPrEx>
          <w:tblCellMar>
            <w:top w:w="0" w:type="dxa"/>
            <w:left w:w="108" w:type="dxa"/>
            <w:bottom w:w="0" w:type="dxa"/>
            <w:right w:w="108" w:type="dxa"/>
          </w:tblCellMar>
        </w:tblPrEx>
        <w:trPr>
          <w:trHeight w:val="497" w:hRule="atLeast"/>
        </w:trPr>
        <w:tc>
          <w:tcPr>
            <w:tcW w:w="1951" w:type="dxa"/>
            <w:gridSpan w:val="2"/>
            <w:tcBorders>
              <w:top w:val="single" w:color="auto" w:sz="18" w:space="0"/>
              <w:left w:val="single" w:color="auto" w:sz="18" w:space="0"/>
              <w:bottom w:val="single" w:color="000000" w:sz="4" w:space="0"/>
              <w:right w:val="single" w:color="000000" w:sz="4" w:space="0"/>
            </w:tcBorders>
            <w:vAlign w:val="center"/>
          </w:tcPr>
          <w:p>
            <w:pPr>
              <w:spacing w:line="500" w:lineRule="exact"/>
              <w:rPr>
                <w:rFonts w:ascii="仿宋_GB2312" w:hAnsi="Calibri" w:eastAsia="宋体" w:cs="Times New Roman"/>
                <w:sz w:val="30"/>
                <w:szCs w:val="30"/>
              </w:rPr>
            </w:pPr>
            <w:r>
              <w:rPr>
                <w:rFonts w:ascii="仿宋_GB2312" w:hAnsi="Calibri" w:eastAsia="宋体" w:cs="Times New Roman"/>
                <w:sz w:val="30"/>
                <w:szCs w:val="30"/>
              </w:rPr>
              <w:t>申请人姓名</w:t>
            </w:r>
          </w:p>
        </w:tc>
        <w:tc>
          <w:tcPr>
            <w:tcW w:w="6662" w:type="dxa"/>
            <w:tcBorders>
              <w:top w:val="single" w:color="auto" w:sz="18" w:space="0"/>
              <w:left w:val="nil"/>
              <w:bottom w:val="single" w:color="000000" w:sz="4" w:space="0"/>
              <w:right w:val="single" w:color="auto" w:sz="18" w:space="0"/>
            </w:tcBorders>
            <w:vAlign w:val="center"/>
          </w:tcPr>
          <w:p>
            <w:pPr>
              <w:spacing w:line="500" w:lineRule="exact"/>
              <w:rPr>
                <w:rFonts w:ascii="仿宋_GB2312" w:hAnsi="Calibri" w:eastAsia="宋体" w:cs="Times New Roman"/>
                <w:sz w:val="30"/>
                <w:szCs w:val="30"/>
              </w:rPr>
            </w:pPr>
          </w:p>
        </w:tc>
      </w:tr>
      <w:tr>
        <w:tblPrEx>
          <w:tblCellMar>
            <w:top w:w="0" w:type="dxa"/>
            <w:left w:w="108" w:type="dxa"/>
            <w:bottom w:w="0" w:type="dxa"/>
            <w:right w:w="108" w:type="dxa"/>
          </w:tblCellMar>
        </w:tblPrEx>
        <w:trPr>
          <w:trHeight w:val="497" w:hRule="atLeast"/>
        </w:trPr>
        <w:tc>
          <w:tcPr>
            <w:tcW w:w="1951" w:type="dxa"/>
            <w:gridSpan w:val="2"/>
            <w:tcBorders>
              <w:top w:val="single" w:color="000000" w:sz="4" w:space="0"/>
              <w:left w:val="single" w:color="auto" w:sz="18" w:space="0"/>
              <w:bottom w:val="single" w:color="auto" w:sz="18" w:space="0"/>
              <w:right w:val="single" w:color="000000" w:sz="4" w:space="0"/>
            </w:tcBorders>
            <w:vAlign w:val="center"/>
          </w:tcPr>
          <w:p>
            <w:pPr>
              <w:spacing w:line="500" w:lineRule="exact"/>
              <w:rPr>
                <w:rFonts w:ascii="仿宋_GB2312" w:hAnsi="Calibri" w:eastAsia="宋体" w:cs="Times New Roman"/>
                <w:sz w:val="30"/>
                <w:szCs w:val="30"/>
              </w:rPr>
            </w:pPr>
            <w:r>
              <w:rPr>
                <w:rFonts w:ascii="仿宋_GB2312" w:hAnsi="Calibri" w:eastAsia="宋体" w:cs="Times New Roman"/>
                <w:sz w:val="30"/>
                <w:szCs w:val="30"/>
              </w:rPr>
              <w:t>身份证号码</w:t>
            </w:r>
          </w:p>
        </w:tc>
        <w:tc>
          <w:tcPr>
            <w:tcW w:w="6662" w:type="dxa"/>
            <w:tcBorders>
              <w:top w:val="single" w:color="000000" w:sz="4" w:space="0"/>
              <w:left w:val="nil"/>
              <w:bottom w:val="single" w:color="auto" w:sz="18" w:space="0"/>
              <w:right w:val="single" w:color="auto" w:sz="18" w:space="0"/>
            </w:tcBorders>
            <w:vAlign w:val="center"/>
          </w:tcPr>
          <w:p>
            <w:pPr>
              <w:spacing w:line="500" w:lineRule="exact"/>
              <w:rPr>
                <w:rFonts w:ascii="仿宋_GB2312" w:hAnsi="Calibri" w:eastAsia="宋体" w:cs="Times New Roman"/>
                <w:sz w:val="30"/>
                <w:szCs w:val="30"/>
              </w:rPr>
            </w:pPr>
          </w:p>
        </w:tc>
      </w:tr>
      <w:tr>
        <w:tblPrEx>
          <w:tblCellMar>
            <w:top w:w="0" w:type="dxa"/>
            <w:left w:w="108" w:type="dxa"/>
            <w:bottom w:w="0" w:type="dxa"/>
            <w:right w:w="108" w:type="dxa"/>
          </w:tblCellMar>
        </w:tblPrEx>
        <w:trPr>
          <w:trHeight w:val="3317" w:hRule="atLeast"/>
        </w:trPr>
        <w:tc>
          <w:tcPr>
            <w:tcW w:w="8613" w:type="dxa"/>
            <w:gridSpan w:val="3"/>
            <w:tcBorders>
              <w:top w:val="single" w:color="auto" w:sz="8" w:space="0"/>
              <w:left w:val="single" w:color="auto" w:sz="18" w:space="0"/>
              <w:bottom w:val="single" w:color="auto" w:sz="8" w:space="0"/>
              <w:right w:val="single" w:color="auto" w:sz="18" w:space="0"/>
            </w:tcBorders>
          </w:tcPr>
          <w:p>
            <w:pPr>
              <w:adjustRightInd w:val="0"/>
              <w:snapToGrid w:val="0"/>
              <w:spacing w:line="500" w:lineRule="exact"/>
              <w:jc w:val="center"/>
              <w:rPr>
                <w:rFonts w:ascii="仿宋_GB2312" w:hAnsi="黑体" w:eastAsia="宋体" w:cs="黑体"/>
                <w:b/>
                <w:bCs/>
                <w:sz w:val="30"/>
                <w:szCs w:val="30"/>
              </w:rPr>
            </w:pPr>
            <w:r>
              <w:rPr>
                <w:rFonts w:ascii="仿宋_GB2312" w:hAnsi="黑体" w:eastAsia="宋体" w:cs="黑体"/>
                <w:b/>
                <w:bCs/>
                <w:sz w:val="30"/>
                <w:szCs w:val="30"/>
              </w:rPr>
              <w:t>中止企业年金缴费的申请</w:t>
            </w:r>
          </w:p>
          <w:p>
            <w:pPr>
              <w:spacing w:line="500" w:lineRule="exact"/>
              <w:ind w:firstLine="600"/>
              <w:jc w:val="left"/>
              <w:rPr>
                <w:rFonts w:ascii="仿宋_GB2312" w:hAnsi="Calibri" w:eastAsia="宋体" w:cs="Times New Roman"/>
                <w:sz w:val="30"/>
                <w:szCs w:val="30"/>
              </w:rPr>
            </w:pPr>
            <w:r>
              <w:rPr>
                <w:rFonts w:ascii="仿宋_GB2312" w:hAnsi="Calibri" w:eastAsia="宋体" w:cs="Times New Roman"/>
                <w:sz w:val="30"/>
                <w:szCs w:val="30"/>
              </w:rPr>
              <w:t>本人经慎重考虑，申请中止企业年金缴费，并愿意承担由此带来的损失。中止缴费期间为：</w:t>
            </w:r>
          </w:p>
          <w:p>
            <w:pPr>
              <w:numPr>
                <w:ilvl w:val="0"/>
                <w:numId w:val="1"/>
              </w:numPr>
              <w:spacing w:line="500" w:lineRule="exact"/>
              <w:jc w:val="left"/>
              <w:rPr>
                <w:rFonts w:ascii="仿宋_GB2312" w:hAnsi="Calibri" w:eastAsia="宋体" w:cs="Times New Roman"/>
                <w:sz w:val="30"/>
                <w:szCs w:val="30"/>
              </w:rPr>
            </w:pPr>
            <w:r>
              <w:rPr>
                <w:rFonts w:ascii="仿宋_GB2312" w:hAnsi="Calibri" w:eastAsia="宋体" w:cs="Times New Roman"/>
                <w:sz w:val="30"/>
                <w:szCs w:val="30"/>
              </w:rPr>
              <w:t xml:space="preserve">  </w:t>
            </w:r>
            <w:r>
              <w:rPr>
                <w:rFonts w:ascii="仿宋_GB2312" w:hAnsi="Calibri" w:eastAsia="宋体" w:cs="Times New Roman"/>
                <w:sz w:val="30"/>
                <w:szCs w:val="30"/>
                <w:u w:val="single"/>
              </w:rPr>
              <w:t xml:space="preserve">    </w:t>
            </w:r>
            <w:r>
              <w:rPr>
                <w:rFonts w:ascii="仿宋_GB2312" w:hAnsi="Calibri" w:eastAsia="宋体" w:cs="Times New Roman"/>
                <w:sz w:val="30"/>
                <w:szCs w:val="30"/>
              </w:rPr>
              <w:t>年</w:t>
            </w:r>
            <w:r>
              <w:rPr>
                <w:rFonts w:ascii="仿宋_GB2312" w:hAnsi="Calibri" w:eastAsia="宋体" w:cs="Times New Roman"/>
                <w:sz w:val="30"/>
                <w:szCs w:val="30"/>
                <w:u w:val="single"/>
              </w:rPr>
              <w:t xml:space="preserve">  </w:t>
            </w:r>
            <w:r>
              <w:rPr>
                <w:rFonts w:ascii="仿宋_GB2312" w:hAnsi="Calibri" w:eastAsia="宋体" w:cs="Times New Roman"/>
                <w:sz w:val="30"/>
                <w:szCs w:val="30"/>
              </w:rPr>
              <w:t xml:space="preserve">月 至 </w:t>
            </w:r>
            <w:r>
              <w:rPr>
                <w:rFonts w:ascii="仿宋_GB2312" w:hAnsi="Calibri" w:eastAsia="宋体" w:cs="Times New Roman"/>
                <w:sz w:val="30"/>
                <w:szCs w:val="30"/>
                <w:u w:val="single"/>
              </w:rPr>
              <w:t xml:space="preserve">    </w:t>
            </w:r>
            <w:r>
              <w:rPr>
                <w:rFonts w:ascii="仿宋_GB2312" w:hAnsi="Calibri" w:eastAsia="宋体" w:cs="Times New Roman"/>
                <w:sz w:val="30"/>
                <w:szCs w:val="30"/>
              </w:rPr>
              <w:t>年</w:t>
            </w:r>
            <w:r>
              <w:rPr>
                <w:rFonts w:ascii="仿宋_GB2312" w:hAnsi="Calibri" w:eastAsia="宋体" w:cs="Times New Roman"/>
                <w:sz w:val="30"/>
                <w:szCs w:val="30"/>
                <w:u w:val="single"/>
              </w:rPr>
              <w:t xml:space="preserve">  </w:t>
            </w:r>
            <w:r>
              <w:rPr>
                <w:rFonts w:ascii="仿宋_GB2312" w:hAnsi="Calibri" w:eastAsia="宋体" w:cs="Times New Roman"/>
                <w:sz w:val="30"/>
                <w:szCs w:val="30"/>
              </w:rPr>
              <w:t>月；</w:t>
            </w:r>
          </w:p>
          <w:p>
            <w:pPr>
              <w:numPr>
                <w:ilvl w:val="0"/>
                <w:numId w:val="1"/>
              </w:numPr>
              <w:spacing w:line="500" w:lineRule="exact"/>
              <w:jc w:val="left"/>
              <w:rPr>
                <w:rFonts w:ascii="仿宋_GB2312" w:hAnsi="Calibri" w:eastAsia="宋体" w:cs="Times New Roman"/>
                <w:sz w:val="30"/>
                <w:szCs w:val="30"/>
              </w:rPr>
            </w:pPr>
            <w:r>
              <w:rPr>
                <w:rFonts w:ascii="仿宋_GB2312" w:hAnsi="Calibri" w:eastAsia="宋体" w:cs="Times New Roman"/>
                <w:sz w:val="30"/>
                <w:szCs w:val="30"/>
              </w:rPr>
              <w:t xml:space="preserve">  至本人申请恢复缴费为止；</w:t>
            </w:r>
          </w:p>
          <w:p>
            <w:pPr>
              <w:numPr>
                <w:ilvl w:val="0"/>
                <w:numId w:val="1"/>
              </w:numPr>
              <w:spacing w:line="400" w:lineRule="exact"/>
              <w:jc w:val="left"/>
              <w:rPr>
                <w:rFonts w:ascii="仿宋_GB2312" w:hAnsi="Calibri" w:eastAsia="宋体" w:cs="Times New Roman"/>
                <w:sz w:val="30"/>
                <w:szCs w:val="30"/>
              </w:rPr>
            </w:pPr>
            <w:r>
              <w:rPr>
                <w:rFonts w:ascii="仿宋_GB2312" w:hAnsi="Calibri" w:eastAsia="宋体" w:cs="Times New Roman"/>
                <w:sz w:val="30"/>
                <w:szCs w:val="30"/>
              </w:rPr>
              <w:t xml:space="preserve">  至退出本企业年金计划为止。</w:t>
            </w:r>
          </w:p>
          <w:p>
            <w:pPr>
              <w:spacing w:line="400" w:lineRule="exact"/>
              <w:ind w:firstLine="4698" w:firstLineChars="1566"/>
              <w:rPr>
                <w:rFonts w:ascii="仿宋_GB2312" w:hAnsi="Calibri" w:eastAsia="宋体" w:cs="Times New Roman"/>
                <w:sz w:val="30"/>
                <w:szCs w:val="30"/>
              </w:rPr>
            </w:pPr>
          </w:p>
          <w:p>
            <w:pPr>
              <w:spacing w:line="500" w:lineRule="exact"/>
              <w:ind w:firstLine="4698" w:firstLineChars="1566"/>
              <w:rPr>
                <w:rFonts w:ascii="仿宋_GB2312" w:hAnsi="Calibri" w:eastAsia="宋体" w:cs="Times New Roman"/>
                <w:sz w:val="30"/>
                <w:szCs w:val="30"/>
              </w:rPr>
            </w:pPr>
            <w:r>
              <w:rPr>
                <w:rFonts w:ascii="仿宋_GB2312" w:hAnsi="Calibri" w:eastAsia="宋体" w:cs="Times New Roman"/>
                <w:sz w:val="30"/>
                <w:szCs w:val="30"/>
              </w:rPr>
              <w:t>申请人：</w:t>
            </w:r>
          </w:p>
          <w:p>
            <w:pPr>
              <w:spacing w:line="500" w:lineRule="exact"/>
              <w:ind w:left="600"/>
              <w:jc w:val="left"/>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1921" w:hRule="atLeast"/>
        </w:trPr>
        <w:tc>
          <w:tcPr>
            <w:tcW w:w="959" w:type="dxa"/>
            <w:tcBorders>
              <w:top w:val="single" w:color="auto" w:sz="8" w:space="0"/>
              <w:left w:val="single" w:color="auto" w:sz="18" w:space="0"/>
              <w:bottom w:val="single" w:color="auto" w:sz="18" w:space="0"/>
              <w:right w:val="single" w:color="auto" w:sz="8" w:space="0"/>
            </w:tcBorders>
            <w:vAlign w:val="center"/>
          </w:tcPr>
          <w:p>
            <w:pPr>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单位</w:t>
            </w:r>
          </w:p>
          <w:p>
            <w:pPr>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意见</w:t>
            </w:r>
          </w:p>
        </w:tc>
        <w:tc>
          <w:tcPr>
            <w:tcW w:w="7654" w:type="dxa"/>
            <w:gridSpan w:val="2"/>
            <w:tcBorders>
              <w:top w:val="single" w:color="auto" w:sz="8" w:space="0"/>
              <w:left w:val="nil"/>
              <w:bottom w:val="single" w:color="auto" w:sz="18" w:space="0"/>
              <w:right w:val="single" w:color="auto" w:sz="18" w:space="0"/>
            </w:tcBorders>
          </w:tcPr>
          <w:p>
            <w:pPr>
              <w:spacing w:before="240" w:line="500" w:lineRule="exact"/>
              <w:ind w:firstLine="600"/>
              <w:rPr>
                <w:rFonts w:ascii="仿宋_GB2312" w:hAnsi="Calibri" w:eastAsia="宋体" w:cs="Times New Roman"/>
                <w:sz w:val="30"/>
                <w:szCs w:val="30"/>
              </w:rPr>
            </w:pPr>
            <w:r>
              <w:rPr>
                <w:rFonts w:ascii="仿宋_GB2312" w:hAnsi="Calibri" w:eastAsia="宋体" w:cs="Times New Roman"/>
                <w:sz w:val="30"/>
                <w:szCs w:val="30"/>
              </w:rPr>
              <w:t>经审核，同意该职工中止企业年金缴费。</w:t>
            </w:r>
          </w:p>
          <w:p>
            <w:pPr>
              <w:spacing w:before="240" w:line="500" w:lineRule="exact"/>
              <w:ind w:firstLine="600"/>
              <w:rPr>
                <w:rFonts w:ascii="仿宋_GB2312" w:hAnsi="Calibri" w:eastAsia="宋体" w:cs="Times New Roman"/>
                <w:sz w:val="30"/>
                <w:szCs w:val="30"/>
              </w:rPr>
            </w:pPr>
          </w:p>
          <w:p>
            <w:pPr>
              <w:spacing w:line="400" w:lineRule="exact"/>
              <w:ind w:firstLine="1698" w:firstLineChars="566"/>
              <w:rPr>
                <w:rFonts w:ascii="仿宋_GB2312" w:hAnsi="Calibri" w:eastAsia="宋体" w:cs="Times New Roman"/>
                <w:sz w:val="30"/>
                <w:szCs w:val="30"/>
              </w:rPr>
            </w:pPr>
            <w:r>
              <w:rPr>
                <w:rFonts w:ascii="仿宋_GB2312" w:hAnsi="Calibri" w:eastAsia="宋体" w:cs="Times New Roman"/>
                <w:sz w:val="30"/>
                <w:szCs w:val="30"/>
              </w:rPr>
              <w:t xml:space="preserve">              签字（盖章）：</w:t>
            </w:r>
          </w:p>
          <w:p>
            <w:pPr>
              <w:adjustRightInd w:val="0"/>
              <w:snapToGrid w:val="0"/>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2248" w:hRule="atLeast"/>
        </w:trPr>
        <w:tc>
          <w:tcPr>
            <w:tcW w:w="8613" w:type="dxa"/>
            <w:gridSpan w:val="3"/>
            <w:tcBorders>
              <w:top w:val="single" w:color="auto" w:sz="8" w:space="0"/>
              <w:left w:val="single" w:color="auto" w:sz="18" w:space="0"/>
              <w:bottom w:val="single" w:color="000000" w:sz="4" w:space="0"/>
              <w:right w:val="single" w:color="auto" w:sz="18" w:space="0"/>
            </w:tcBorders>
            <w:vAlign w:val="center"/>
          </w:tcPr>
          <w:p>
            <w:pPr>
              <w:adjustRightInd w:val="0"/>
              <w:snapToGrid w:val="0"/>
              <w:spacing w:line="500" w:lineRule="exact"/>
              <w:jc w:val="center"/>
              <w:rPr>
                <w:rFonts w:ascii="仿宋_GB2312" w:hAnsi="黑体" w:eastAsia="宋体" w:cs="黑体"/>
                <w:b/>
                <w:bCs/>
                <w:sz w:val="30"/>
                <w:szCs w:val="30"/>
              </w:rPr>
            </w:pPr>
            <w:r>
              <w:rPr>
                <w:rFonts w:ascii="仿宋_GB2312" w:hAnsi="黑体" w:eastAsia="宋体" w:cs="黑体"/>
                <w:b/>
                <w:bCs/>
                <w:sz w:val="30"/>
                <w:szCs w:val="30"/>
              </w:rPr>
              <w:t>恢复企业年金缴费的申请</w:t>
            </w:r>
          </w:p>
          <w:p>
            <w:pPr>
              <w:spacing w:line="500" w:lineRule="exact"/>
              <w:ind w:firstLine="600"/>
              <w:jc w:val="left"/>
              <w:rPr>
                <w:rFonts w:ascii="仿宋_GB2312" w:hAnsi="Calibri" w:eastAsia="宋体" w:cs="Times New Roman"/>
                <w:sz w:val="30"/>
                <w:szCs w:val="30"/>
              </w:rPr>
            </w:pPr>
            <w:r>
              <w:rPr>
                <w:rFonts w:ascii="仿宋_GB2312" w:hAnsi="Calibri" w:eastAsia="宋体" w:cs="Times New Roman"/>
                <w:sz w:val="30"/>
                <w:szCs w:val="30"/>
              </w:rPr>
              <w:t>本人申请自</w:t>
            </w:r>
            <w:r>
              <w:rPr>
                <w:rFonts w:ascii="仿宋_GB2312" w:hAnsi="Calibri" w:eastAsia="宋体" w:cs="Times New Roman"/>
                <w:sz w:val="30"/>
                <w:szCs w:val="30"/>
                <w:u w:val="single"/>
              </w:rPr>
              <w:t xml:space="preserve">    </w:t>
            </w:r>
            <w:r>
              <w:rPr>
                <w:rFonts w:ascii="仿宋_GB2312" w:hAnsi="Calibri" w:eastAsia="宋体" w:cs="Times New Roman"/>
                <w:sz w:val="30"/>
                <w:szCs w:val="30"/>
              </w:rPr>
              <w:t>年</w:t>
            </w:r>
            <w:r>
              <w:rPr>
                <w:rFonts w:ascii="仿宋_GB2312" w:hAnsi="Calibri" w:eastAsia="宋体" w:cs="Times New Roman"/>
                <w:sz w:val="30"/>
                <w:szCs w:val="30"/>
                <w:u w:val="single"/>
              </w:rPr>
              <w:t xml:space="preserve">  </w:t>
            </w:r>
            <w:r>
              <w:rPr>
                <w:rFonts w:ascii="仿宋_GB2312" w:hAnsi="Calibri" w:eastAsia="宋体" w:cs="Times New Roman"/>
                <w:sz w:val="30"/>
                <w:szCs w:val="30"/>
              </w:rPr>
              <w:t>月起恢复企业年金缴费。</w:t>
            </w:r>
          </w:p>
          <w:p>
            <w:pPr>
              <w:spacing w:line="400" w:lineRule="exact"/>
              <w:ind w:firstLine="4698" w:firstLineChars="1566"/>
              <w:rPr>
                <w:rFonts w:ascii="仿宋_GB2312" w:hAnsi="Calibri" w:eastAsia="宋体" w:cs="Times New Roman"/>
                <w:sz w:val="30"/>
                <w:szCs w:val="30"/>
              </w:rPr>
            </w:pPr>
          </w:p>
          <w:p>
            <w:pPr>
              <w:spacing w:line="400" w:lineRule="exact"/>
              <w:ind w:firstLine="4698" w:firstLineChars="1566"/>
              <w:rPr>
                <w:rFonts w:ascii="仿宋_GB2312" w:hAnsi="Calibri" w:eastAsia="宋体" w:cs="Times New Roman"/>
                <w:sz w:val="30"/>
                <w:szCs w:val="30"/>
              </w:rPr>
            </w:pPr>
            <w:r>
              <w:rPr>
                <w:rFonts w:ascii="仿宋_GB2312" w:hAnsi="Calibri" w:eastAsia="宋体" w:cs="Times New Roman"/>
                <w:sz w:val="30"/>
                <w:szCs w:val="30"/>
              </w:rPr>
              <w:t>申请人：</w:t>
            </w:r>
          </w:p>
          <w:p>
            <w:pPr>
              <w:spacing w:line="500" w:lineRule="exact"/>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r>
        <w:tblPrEx>
          <w:tblCellMar>
            <w:top w:w="0" w:type="dxa"/>
            <w:left w:w="108" w:type="dxa"/>
            <w:bottom w:w="0" w:type="dxa"/>
            <w:right w:w="108" w:type="dxa"/>
          </w:tblCellMar>
        </w:tblPrEx>
        <w:trPr>
          <w:trHeight w:val="1407" w:hRule="atLeast"/>
        </w:trPr>
        <w:tc>
          <w:tcPr>
            <w:tcW w:w="959" w:type="dxa"/>
            <w:tcBorders>
              <w:top w:val="single" w:color="000000" w:sz="4" w:space="0"/>
              <w:left w:val="single" w:color="auto" w:sz="18" w:space="0"/>
              <w:bottom w:val="single" w:color="auto" w:sz="18" w:space="0"/>
              <w:right w:val="single" w:color="000000" w:sz="4" w:space="0"/>
            </w:tcBorders>
            <w:vAlign w:val="center"/>
          </w:tcPr>
          <w:p>
            <w:pPr>
              <w:spacing w:line="500" w:lineRule="exact"/>
              <w:jc w:val="center"/>
              <w:rPr>
                <w:rFonts w:ascii="仿宋_GB2312" w:hAnsi="Calibri" w:eastAsia="宋体" w:cs="Times New Roman"/>
                <w:sz w:val="30"/>
                <w:szCs w:val="30"/>
              </w:rPr>
            </w:pPr>
            <w:r>
              <w:rPr>
                <w:rFonts w:ascii="仿宋_GB2312" w:hAnsi="Calibri" w:eastAsia="宋体" w:cs="Times New Roman"/>
                <w:sz w:val="30"/>
                <w:szCs w:val="30"/>
              </w:rPr>
              <w:t>单位意见</w:t>
            </w:r>
          </w:p>
        </w:tc>
        <w:tc>
          <w:tcPr>
            <w:tcW w:w="7654" w:type="dxa"/>
            <w:gridSpan w:val="2"/>
            <w:tcBorders>
              <w:top w:val="single" w:color="000000" w:sz="4" w:space="0"/>
              <w:left w:val="nil"/>
              <w:bottom w:val="single" w:color="auto" w:sz="18" w:space="0"/>
              <w:right w:val="single" w:color="auto" w:sz="18" w:space="0"/>
            </w:tcBorders>
            <w:vAlign w:val="center"/>
          </w:tcPr>
          <w:p>
            <w:pPr>
              <w:spacing w:before="240" w:line="500" w:lineRule="exact"/>
              <w:ind w:firstLine="600"/>
              <w:rPr>
                <w:rFonts w:ascii="仿宋_GB2312" w:hAnsi="Calibri" w:eastAsia="宋体" w:cs="Times New Roman"/>
                <w:sz w:val="30"/>
                <w:szCs w:val="30"/>
              </w:rPr>
            </w:pPr>
            <w:r>
              <w:rPr>
                <w:rFonts w:ascii="仿宋_GB2312" w:hAnsi="Calibri" w:eastAsia="宋体" w:cs="Times New Roman"/>
                <w:sz w:val="30"/>
                <w:szCs w:val="30"/>
              </w:rPr>
              <w:t>经审核，同意该职工恢复企业年金缴费。</w:t>
            </w:r>
          </w:p>
          <w:p>
            <w:pPr>
              <w:spacing w:before="240" w:line="500" w:lineRule="exact"/>
              <w:ind w:firstLine="600"/>
              <w:rPr>
                <w:rFonts w:ascii="仿宋_GB2312" w:hAnsi="Calibri" w:eastAsia="宋体" w:cs="Times New Roman"/>
                <w:sz w:val="30"/>
                <w:szCs w:val="30"/>
              </w:rPr>
            </w:pPr>
          </w:p>
          <w:p>
            <w:pPr>
              <w:spacing w:line="320" w:lineRule="exact"/>
              <w:ind w:firstLine="1698" w:firstLineChars="566"/>
              <w:rPr>
                <w:rFonts w:ascii="仿宋_GB2312" w:hAnsi="Calibri" w:eastAsia="宋体" w:cs="Times New Roman"/>
                <w:sz w:val="30"/>
                <w:szCs w:val="30"/>
              </w:rPr>
            </w:pPr>
            <w:r>
              <w:rPr>
                <w:rFonts w:ascii="仿宋_GB2312" w:hAnsi="Calibri" w:eastAsia="宋体" w:cs="Times New Roman"/>
                <w:sz w:val="30"/>
                <w:szCs w:val="30"/>
              </w:rPr>
              <w:t xml:space="preserve">              签字（盖章）：</w:t>
            </w:r>
          </w:p>
          <w:p>
            <w:pPr>
              <w:spacing w:line="500" w:lineRule="exact"/>
              <w:ind w:firstLine="3300" w:firstLineChars="1100"/>
              <w:rPr>
                <w:rFonts w:ascii="仿宋_GB2312" w:hAnsi="Calibri" w:eastAsia="宋体" w:cs="Times New Roman"/>
                <w:sz w:val="30"/>
                <w:szCs w:val="30"/>
              </w:rPr>
            </w:pPr>
            <w:r>
              <w:rPr>
                <w:rFonts w:ascii="仿宋_GB2312" w:hAnsi="Calibri" w:eastAsia="宋体" w:cs="Times New Roman"/>
                <w:sz w:val="30"/>
                <w:szCs w:val="30"/>
              </w:rPr>
              <w:t xml:space="preserve">          年    月    日</w:t>
            </w:r>
          </w:p>
        </w:tc>
      </w:tr>
    </w:tbl>
    <w:p>
      <w:pPr>
        <w:rPr>
          <w:rFonts w:hint="eastAsia" w:ascii="仿宋_GB2312" w:hAnsi="Calibri" w:eastAsia="宋体" w:cs="Times New Roman"/>
          <w:sz w:val="10"/>
          <w:szCs w:val="10"/>
        </w:rPr>
      </w:pPr>
      <w:r>
        <w:rPr>
          <w:rFonts w:ascii="仿宋_GB2312" w:hAnsi="Calibri" w:eastAsia="宋体" w:cs="Times New Roman"/>
          <w:sz w:val="10"/>
          <w:szCs w:val="10"/>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60E4B"/>
    <w:multiLevelType w:val="multilevel"/>
    <w:tmpl w:val="59E60E4B"/>
    <w:lvl w:ilvl="0" w:tentative="0">
      <w:start w:val="2"/>
      <w:numFmt w:val="bullet"/>
      <w:lvlText w:val="□"/>
      <w:lvlJc w:val="left"/>
      <w:pPr>
        <w:ind w:left="960" w:hanging="360"/>
      </w:pPr>
      <w:rPr>
        <w:rFonts w:hint="eastAsia" w:ascii="宋体" w:hAnsi="宋体" w:eastAsia="宋体" w:cs="Times New Roman"/>
      </w:rPr>
    </w:lvl>
    <w:lvl w:ilvl="1" w:tentative="0">
      <w:start w:val="1"/>
      <w:numFmt w:val="bullet"/>
      <w:lvlText w:val=""/>
      <w:lvlJc w:val="left"/>
      <w:pPr>
        <w:ind w:left="1440" w:hanging="420"/>
      </w:pPr>
      <w:rPr>
        <w:rFonts w:hint="default" w:ascii="Wingdings" w:hAnsi="Wingdings"/>
      </w:rPr>
    </w:lvl>
    <w:lvl w:ilvl="2" w:tentative="0">
      <w:start w:val="1"/>
      <w:numFmt w:val="bullet"/>
      <w:lvlText w:val=""/>
      <w:lvlJc w:val="left"/>
      <w:pPr>
        <w:ind w:left="1860" w:hanging="420"/>
      </w:pPr>
      <w:rPr>
        <w:rFonts w:hint="default" w:ascii="Wingdings" w:hAnsi="Wingdings"/>
      </w:rPr>
    </w:lvl>
    <w:lvl w:ilvl="3" w:tentative="0">
      <w:start w:val="1"/>
      <w:numFmt w:val="bullet"/>
      <w:lvlText w:val=""/>
      <w:lvlJc w:val="left"/>
      <w:pPr>
        <w:ind w:left="2280" w:hanging="420"/>
      </w:pPr>
      <w:rPr>
        <w:rFonts w:hint="default" w:ascii="Wingdings" w:hAnsi="Wingdings"/>
      </w:rPr>
    </w:lvl>
    <w:lvl w:ilvl="4" w:tentative="0">
      <w:start w:val="1"/>
      <w:numFmt w:val="bullet"/>
      <w:lvlText w:val=""/>
      <w:lvlJc w:val="left"/>
      <w:pPr>
        <w:ind w:left="2700" w:hanging="420"/>
      </w:pPr>
      <w:rPr>
        <w:rFonts w:hint="default" w:ascii="Wingdings" w:hAnsi="Wingdings"/>
      </w:rPr>
    </w:lvl>
    <w:lvl w:ilvl="5" w:tentative="0">
      <w:start w:val="1"/>
      <w:numFmt w:val="bullet"/>
      <w:lvlText w:val=""/>
      <w:lvlJc w:val="left"/>
      <w:pPr>
        <w:ind w:left="3120" w:hanging="420"/>
      </w:pPr>
      <w:rPr>
        <w:rFonts w:hint="default" w:ascii="Wingdings" w:hAnsi="Wingdings"/>
      </w:rPr>
    </w:lvl>
    <w:lvl w:ilvl="6" w:tentative="0">
      <w:start w:val="1"/>
      <w:numFmt w:val="bullet"/>
      <w:lvlText w:val=""/>
      <w:lvlJc w:val="left"/>
      <w:pPr>
        <w:ind w:left="3540" w:hanging="420"/>
      </w:pPr>
      <w:rPr>
        <w:rFonts w:hint="default" w:ascii="Wingdings" w:hAnsi="Wingdings"/>
      </w:rPr>
    </w:lvl>
    <w:lvl w:ilvl="7" w:tentative="0">
      <w:start w:val="1"/>
      <w:numFmt w:val="bullet"/>
      <w:lvlText w:val=""/>
      <w:lvlJc w:val="left"/>
      <w:pPr>
        <w:ind w:left="3960" w:hanging="420"/>
      </w:pPr>
      <w:rPr>
        <w:rFonts w:hint="default" w:ascii="Wingdings" w:hAnsi="Wingdings"/>
      </w:rPr>
    </w:lvl>
    <w:lvl w:ilvl="8" w:tentative="0">
      <w:start w:val="1"/>
      <w:numFmt w:val="bullet"/>
      <w:lvlText w:val=""/>
      <w:lvlJc w:val="left"/>
      <w:pPr>
        <w:ind w:left="43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BF4"/>
    <w:rsid w:val="003107D8"/>
    <w:rsid w:val="005B11D5"/>
    <w:rsid w:val="00785BF4"/>
    <w:rsid w:val="00A5245D"/>
    <w:rsid w:val="065E7390"/>
    <w:rsid w:val="4DCA6C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1110</Words>
  <Characters>6331</Characters>
  <Lines>52</Lines>
  <Paragraphs>14</Paragraphs>
  <TotalTime>6</TotalTime>
  <ScaleCrop>false</ScaleCrop>
  <LinksUpToDate>false</LinksUpToDate>
  <CharactersWithSpaces>7427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2020-12-14T01:56:00Z</dcterms:created>
  <dc:creator>马育媛/养老金业务团队/公司金融部/安徽/BOC</dc:creator>
  <cp:lastModifiedBy>lb</cp:lastModifiedBy>
  <dcterms:modified xsi:type="dcterms:W3CDTF">2021-11-05T00:46:15Z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